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74A4" w14:textId="77777777" w:rsidR="009938AD" w:rsidRPr="0029563E" w:rsidRDefault="00A0019E" w:rsidP="009938AD">
      <w:pPr>
        <w:jc w:val="center"/>
        <w:rPr>
          <w:rStyle w:val="Heading5Char"/>
          <w:rFonts w:asciiTheme="minorHAnsi" w:eastAsiaTheme="minorHAnsi" w:hAnsiTheme="minorHAnsi" w:cstheme="minorBidi"/>
          <w:color w:val="auto"/>
          <w:sz w:val="24"/>
          <w:szCs w:val="24"/>
          <w:u w:val="single"/>
        </w:rPr>
      </w:pPr>
      <w:r w:rsidRPr="0029563E">
        <w:rPr>
          <w:sz w:val="24"/>
          <w:szCs w:val="24"/>
          <w:u w:val="single"/>
        </w:rPr>
        <w:t xml:space="preserve">This Checklist </w:t>
      </w:r>
      <w:r w:rsidR="00000BD9" w:rsidRPr="0029563E">
        <w:rPr>
          <w:sz w:val="24"/>
          <w:szCs w:val="24"/>
          <w:u w:val="single"/>
        </w:rPr>
        <w:t xml:space="preserve">Applies to the </w:t>
      </w:r>
      <w:r w:rsidRPr="0029563E">
        <w:rPr>
          <w:sz w:val="24"/>
          <w:szCs w:val="24"/>
          <w:u w:val="single"/>
        </w:rPr>
        <w:t>F</w:t>
      </w:r>
      <w:r w:rsidR="00000BD9" w:rsidRPr="0029563E">
        <w:rPr>
          <w:sz w:val="24"/>
          <w:szCs w:val="24"/>
          <w:u w:val="single"/>
        </w:rPr>
        <w:t>ollowing Types of Insurance (TOI):</w:t>
      </w:r>
    </w:p>
    <w:p w14:paraId="7E0A8101" w14:textId="77777777" w:rsidR="00D50088" w:rsidRPr="008D09C6" w:rsidRDefault="00186206" w:rsidP="00186206">
      <w:pPr>
        <w:pStyle w:val="ListParagraph"/>
        <w:numPr>
          <w:ilvl w:val="0"/>
          <w:numId w:val="6"/>
        </w:numPr>
        <w:rPr>
          <w:sz w:val="20"/>
          <w:szCs w:val="20"/>
        </w:rPr>
      </w:pPr>
      <w:r w:rsidRPr="0029563E">
        <w:rPr>
          <w:rFonts w:ascii="Verdana" w:hAnsi="Verdana"/>
          <w:color w:val="000000"/>
          <w:sz w:val="20"/>
          <w:szCs w:val="20"/>
          <w:shd w:val="clear" w:color="auto" w:fill="FFFFFF"/>
        </w:rPr>
        <w:t xml:space="preserve">A08G Group Annuities </w:t>
      </w:r>
      <w:r w:rsidR="00FD31BE" w:rsidRPr="0029563E">
        <w:rPr>
          <w:rFonts w:ascii="Verdana" w:hAnsi="Verdana"/>
          <w:color w:val="000000"/>
          <w:sz w:val="20"/>
          <w:szCs w:val="20"/>
          <w:shd w:val="clear" w:color="auto" w:fill="FFFFFF"/>
        </w:rPr>
        <w:t>–</w:t>
      </w:r>
      <w:r w:rsidRPr="0029563E">
        <w:rPr>
          <w:rFonts w:ascii="Verdana" w:hAnsi="Verdana"/>
          <w:color w:val="000000"/>
          <w:sz w:val="20"/>
          <w:szCs w:val="20"/>
          <w:shd w:val="clear" w:color="auto" w:fill="FFFFFF"/>
        </w:rPr>
        <w:t xml:space="preserve"> Unallocated</w:t>
      </w:r>
    </w:p>
    <w:p w14:paraId="740403DD" w14:textId="77777777" w:rsidR="008D09C6" w:rsidRPr="00D068DC" w:rsidRDefault="008D09C6" w:rsidP="008D09C6">
      <w:pPr>
        <w:pStyle w:val="ListParagraph"/>
        <w:numPr>
          <w:ilvl w:val="0"/>
          <w:numId w:val="6"/>
        </w:numPr>
        <w:rPr>
          <w:sz w:val="21"/>
          <w:szCs w:val="21"/>
        </w:rPr>
      </w:pPr>
      <w:r w:rsidRPr="00D068DC">
        <w:rPr>
          <w:rFonts w:ascii="Verdana" w:hAnsi="Verdana"/>
          <w:color w:val="000000"/>
          <w:sz w:val="17"/>
          <w:szCs w:val="17"/>
          <w:shd w:val="clear" w:color="auto" w:fill="FFFFFF"/>
        </w:rPr>
        <w:t>Other TOIs may apply.</w:t>
      </w:r>
    </w:p>
    <w:p w14:paraId="591522E7" w14:textId="77777777" w:rsidR="00FD31BE" w:rsidRDefault="00FD31BE" w:rsidP="00FD31BE">
      <w:pPr>
        <w:rPr>
          <w:sz w:val="21"/>
          <w:szCs w:val="21"/>
        </w:rPr>
      </w:pPr>
      <w:r>
        <w:rPr>
          <w:sz w:val="21"/>
          <w:szCs w:val="21"/>
        </w:rPr>
        <w:t>Please note that the Department views guaranteed investment contracts, including synthetic, as a type of life insurance and applies life insurance standards to these products.</w:t>
      </w:r>
    </w:p>
    <w:p w14:paraId="1AE8EE3B" w14:textId="77777777" w:rsidR="008D09C6" w:rsidRDefault="008D09C6" w:rsidP="008D09C6">
      <w:pPr>
        <w:pStyle w:val="ListParagraph"/>
        <w:ind w:left="0"/>
        <w:rPr>
          <w:rFonts w:ascii="Verdana" w:hAnsi="Verdana"/>
          <w:color w:val="000000"/>
          <w:sz w:val="17"/>
          <w:szCs w:val="17"/>
          <w:shd w:val="clear" w:color="auto" w:fill="FFFFFF"/>
        </w:rPr>
      </w:pPr>
      <w:r>
        <w:rPr>
          <w:rFonts w:ascii="Verdana" w:hAnsi="Verdana"/>
          <w:color w:val="000000"/>
          <w:sz w:val="17"/>
          <w:szCs w:val="17"/>
          <w:shd w:val="clear" w:color="auto" w:fill="FFFFFF"/>
        </w:rPr>
        <w:t>Nebraska uses NAIC Model 200 to review non-synthetic Guaranteed Investment Contracts and the associated Plan of Operations.</w:t>
      </w:r>
    </w:p>
    <w:tbl>
      <w:tblPr>
        <w:tblStyle w:val="TableGrid"/>
        <w:tblW w:w="0" w:type="auto"/>
        <w:tblLook w:val="04A0" w:firstRow="1" w:lastRow="0" w:firstColumn="1" w:lastColumn="0" w:noHBand="0" w:noVBand="1"/>
      </w:tblPr>
      <w:tblGrid>
        <w:gridCol w:w="1165"/>
        <w:gridCol w:w="2086"/>
        <w:gridCol w:w="1514"/>
        <w:gridCol w:w="3209"/>
        <w:gridCol w:w="1376"/>
      </w:tblGrid>
      <w:tr w:rsidR="00796D1D" w:rsidRPr="00A0019E" w14:paraId="20C5F185" w14:textId="77777777" w:rsidTr="00283435">
        <w:tc>
          <w:tcPr>
            <w:tcW w:w="1165" w:type="dxa"/>
            <w:shd w:val="clear" w:color="auto" w:fill="E7E6E6" w:themeFill="background2"/>
          </w:tcPr>
          <w:p w14:paraId="75082000" w14:textId="77777777" w:rsidR="00796D1D" w:rsidRPr="00A0019E" w:rsidRDefault="00796D1D" w:rsidP="003C6597">
            <w:pPr>
              <w:rPr>
                <w:b/>
                <w:sz w:val="21"/>
                <w:szCs w:val="21"/>
              </w:rPr>
            </w:pPr>
          </w:p>
        </w:tc>
        <w:tc>
          <w:tcPr>
            <w:tcW w:w="8185" w:type="dxa"/>
            <w:gridSpan w:val="4"/>
            <w:shd w:val="clear" w:color="auto" w:fill="E7E6E6" w:themeFill="background2"/>
          </w:tcPr>
          <w:p w14:paraId="53C0A6A5" w14:textId="77777777"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4CA9C69E" w14:textId="77777777" w:rsidTr="00283435">
        <w:tc>
          <w:tcPr>
            <w:tcW w:w="1165" w:type="dxa"/>
            <w:shd w:val="clear" w:color="auto" w:fill="FFFFFF" w:themeFill="background1"/>
          </w:tcPr>
          <w:p w14:paraId="64CF2C2B" w14:textId="77777777" w:rsidR="00796D1D" w:rsidRPr="00796D1D" w:rsidRDefault="00796D1D" w:rsidP="00694250">
            <w:pPr>
              <w:rPr>
                <w:sz w:val="21"/>
                <w:szCs w:val="21"/>
              </w:rPr>
            </w:pPr>
          </w:p>
        </w:tc>
        <w:tc>
          <w:tcPr>
            <w:tcW w:w="6809" w:type="dxa"/>
            <w:gridSpan w:val="3"/>
            <w:shd w:val="clear" w:color="auto" w:fill="FFFFFF" w:themeFill="background1"/>
          </w:tcPr>
          <w:p w14:paraId="7ADE57F1" w14:textId="77777777"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1376" w:type="dxa"/>
            <w:shd w:val="clear" w:color="auto" w:fill="FFFFFF" w:themeFill="background1"/>
          </w:tcPr>
          <w:p w14:paraId="3EE0AF16" w14:textId="77777777" w:rsidR="00796D1D" w:rsidRPr="00796D1D" w:rsidRDefault="00796D1D" w:rsidP="00694250">
            <w:pPr>
              <w:rPr>
                <w:sz w:val="21"/>
                <w:szCs w:val="21"/>
              </w:rPr>
            </w:pPr>
            <w:r>
              <w:rPr>
                <w:sz w:val="21"/>
                <w:szCs w:val="21"/>
              </w:rPr>
              <w:t>[TOI here]</w:t>
            </w:r>
          </w:p>
        </w:tc>
      </w:tr>
      <w:tr w:rsidR="00B51FD0" w:rsidRPr="00A0019E" w14:paraId="7EAA5BBA" w14:textId="77777777" w:rsidTr="004E37F5">
        <w:tc>
          <w:tcPr>
            <w:tcW w:w="1165" w:type="dxa"/>
            <w:shd w:val="clear" w:color="auto" w:fill="E7E6E6" w:themeFill="background2"/>
          </w:tcPr>
          <w:p w14:paraId="28357D42" w14:textId="77777777" w:rsidR="003C6597" w:rsidRPr="00A0019E" w:rsidRDefault="003C6597" w:rsidP="003C6597">
            <w:pPr>
              <w:rPr>
                <w:b/>
                <w:sz w:val="21"/>
                <w:szCs w:val="21"/>
              </w:rPr>
            </w:pPr>
            <w:r w:rsidRPr="00A0019E">
              <w:rPr>
                <w:b/>
                <w:sz w:val="21"/>
                <w:szCs w:val="21"/>
              </w:rPr>
              <w:t>(DOI reviewer)</w:t>
            </w:r>
          </w:p>
          <w:p w14:paraId="271308FF" w14:textId="77777777" w:rsidR="00BC3756" w:rsidRPr="00A0019E" w:rsidRDefault="003C6597" w:rsidP="003C6597">
            <w:pPr>
              <w:rPr>
                <w:b/>
                <w:sz w:val="21"/>
                <w:szCs w:val="21"/>
              </w:rPr>
            </w:pPr>
            <w:r w:rsidRPr="00A0019E">
              <w:rPr>
                <w:b/>
                <w:sz w:val="21"/>
                <w:szCs w:val="21"/>
              </w:rPr>
              <w:t>Check as completed</w:t>
            </w:r>
          </w:p>
        </w:tc>
        <w:tc>
          <w:tcPr>
            <w:tcW w:w="2086" w:type="dxa"/>
            <w:shd w:val="clear" w:color="auto" w:fill="E7E6E6" w:themeFill="background2"/>
          </w:tcPr>
          <w:p w14:paraId="204CE512" w14:textId="77777777" w:rsidR="00BC3756" w:rsidRPr="00A0019E" w:rsidRDefault="00BC3756" w:rsidP="00781F1E">
            <w:pPr>
              <w:rPr>
                <w:b/>
                <w:sz w:val="21"/>
                <w:szCs w:val="21"/>
              </w:rPr>
            </w:pPr>
            <w:r w:rsidRPr="00A0019E">
              <w:rPr>
                <w:b/>
                <w:sz w:val="21"/>
                <w:szCs w:val="21"/>
              </w:rPr>
              <w:t>Review Requirements</w:t>
            </w:r>
          </w:p>
        </w:tc>
        <w:tc>
          <w:tcPr>
            <w:tcW w:w="1514" w:type="dxa"/>
            <w:shd w:val="clear" w:color="auto" w:fill="E7E6E6" w:themeFill="background2"/>
          </w:tcPr>
          <w:p w14:paraId="40FCB37D" w14:textId="77777777" w:rsidR="00BC3756" w:rsidRPr="00A0019E" w:rsidRDefault="00BC3756" w:rsidP="00781F1E">
            <w:pPr>
              <w:rPr>
                <w:b/>
                <w:sz w:val="21"/>
                <w:szCs w:val="21"/>
              </w:rPr>
            </w:pPr>
            <w:r w:rsidRPr="00A0019E">
              <w:rPr>
                <w:b/>
                <w:sz w:val="21"/>
                <w:szCs w:val="21"/>
              </w:rPr>
              <w:t>Reference</w:t>
            </w:r>
          </w:p>
        </w:tc>
        <w:tc>
          <w:tcPr>
            <w:tcW w:w="3209" w:type="dxa"/>
            <w:shd w:val="clear" w:color="auto" w:fill="E7E6E6" w:themeFill="background2"/>
          </w:tcPr>
          <w:p w14:paraId="397E94FB" w14:textId="77777777" w:rsidR="00BC3756" w:rsidRPr="00A0019E" w:rsidRDefault="00BC3756" w:rsidP="001270E9">
            <w:pPr>
              <w:rPr>
                <w:b/>
                <w:sz w:val="21"/>
                <w:szCs w:val="21"/>
              </w:rPr>
            </w:pPr>
            <w:r w:rsidRPr="00A0019E">
              <w:rPr>
                <w:b/>
                <w:sz w:val="21"/>
                <w:szCs w:val="21"/>
              </w:rPr>
              <w:t>Description</w:t>
            </w:r>
          </w:p>
        </w:tc>
        <w:tc>
          <w:tcPr>
            <w:tcW w:w="1376" w:type="dxa"/>
            <w:shd w:val="clear" w:color="auto" w:fill="E7E6E6" w:themeFill="background2"/>
          </w:tcPr>
          <w:p w14:paraId="48264177" w14:textId="77777777"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17152234" w14:textId="77777777" w:rsidTr="00283435">
        <w:tc>
          <w:tcPr>
            <w:tcW w:w="1165" w:type="dxa"/>
            <w:shd w:val="clear" w:color="auto" w:fill="E7E6E6" w:themeFill="background2"/>
          </w:tcPr>
          <w:p w14:paraId="688DE52E" w14:textId="77777777" w:rsidR="003C6597" w:rsidRPr="00A0019E" w:rsidRDefault="003C6597" w:rsidP="00781F1E">
            <w:pPr>
              <w:rPr>
                <w:b/>
                <w:sz w:val="21"/>
                <w:szCs w:val="21"/>
              </w:rPr>
            </w:pPr>
          </w:p>
        </w:tc>
        <w:tc>
          <w:tcPr>
            <w:tcW w:w="8185" w:type="dxa"/>
            <w:gridSpan w:val="4"/>
            <w:shd w:val="clear" w:color="auto" w:fill="E7E6E6" w:themeFill="background2"/>
          </w:tcPr>
          <w:p w14:paraId="269E043B" w14:textId="77777777" w:rsidR="003C6597" w:rsidRPr="00A0019E" w:rsidRDefault="003C6597" w:rsidP="00781F1E">
            <w:pPr>
              <w:rPr>
                <w:sz w:val="21"/>
                <w:szCs w:val="21"/>
              </w:rPr>
            </w:pPr>
            <w:r w:rsidRPr="00A0019E">
              <w:rPr>
                <w:b/>
                <w:sz w:val="21"/>
                <w:szCs w:val="21"/>
              </w:rPr>
              <w:t>COVER PAGE</w:t>
            </w:r>
          </w:p>
        </w:tc>
      </w:tr>
      <w:tr w:rsidR="00B51FD0" w:rsidRPr="00A0019E" w14:paraId="0A37C5C1" w14:textId="77777777" w:rsidTr="004E37F5">
        <w:tc>
          <w:tcPr>
            <w:tcW w:w="1165" w:type="dxa"/>
          </w:tcPr>
          <w:p w14:paraId="20CDE568" w14:textId="77777777" w:rsidR="00BC3756" w:rsidRPr="00A0019E" w:rsidRDefault="00BC3756" w:rsidP="001270E9">
            <w:pPr>
              <w:rPr>
                <w:sz w:val="21"/>
                <w:szCs w:val="21"/>
              </w:rPr>
            </w:pPr>
            <w:r w:rsidRPr="00A0019E">
              <w:rPr>
                <w:sz w:val="21"/>
                <w:szCs w:val="21"/>
              </w:rPr>
              <w:sym w:font="Wingdings" w:char="F06F"/>
            </w:r>
          </w:p>
        </w:tc>
        <w:tc>
          <w:tcPr>
            <w:tcW w:w="2086" w:type="dxa"/>
          </w:tcPr>
          <w:p w14:paraId="15E68952" w14:textId="77777777" w:rsidR="00BC3756" w:rsidRPr="00A0019E" w:rsidRDefault="00BC3756" w:rsidP="001270E9">
            <w:pPr>
              <w:rPr>
                <w:sz w:val="21"/>
                <w:szCs w:val="21"/>
              </w:rPr>
            </w:pPr>
            <w:r w:rsidRPr="00A0019E">
              <w:rPr>
                <w:sz w:val="21"/>
                <w:szCs w:val="21"/>
              </w:rPr>
              <w:t>Full Company name and address</w:t>
            </w:r>
          </w:p>
        </w:tc>
        <w:tc>
          <w:tcPr>
            <w:tcW w:w="1514" w:type="dxa"/>
          </w:tcPr>
          <w:p w14:paraId="482ECDA7" w14:textId="77777777" w:rsidR="00BC3756" w:rsidRPr="00A0019E" w:rsidRDefault="00DB645B" w:rsidP="001270E9">
            <w:pPr>
              <w:rPr>
                <w:sz w:val="21"/>
                <w:szCs w:val="21"/>
              </w:rPr>
            </w:pPr>
            <w:hyperlink r:id="rId8" w:history="1">
              <w:r w:rsidR="00BC3756" w:rsidRPr="00A0019E">
                <w:rPr>
                  <w:rStyle w:val="Hyperlink"/>
                  <w:sz w:val="21"/>
                  <w:szCs w:val="21"/>
                </w:rPr>
                <w:t>§ 44-350</w:t>
              </w:r>
            </w:hyperlink>
          </w:p>
        </w:tc>
        <w:tc>
          <w:tcPr>
            <w:tcW w:w="3209" w:type="dxa"/>
          </w:tcPr>
          <w:p w14:paraId="469468B8" w14:textId="77777777" w:rsidR="00BC3756" w:rsidRPr="00A0019E" w:rsidRDefault="00BC3756" w:rsidP="001270E9">
            <w:pPr>
              <w:rPr>
                <w:sz w:val="21"/>
                <w:szCs w:val="21"/>
              </w:rPr>
            </w:pPr>
            <w:r w:rsidRPr="00A0019E">
              <w:rPr>
                <w:sz w:val="21"/>
                <w:szCs w:val="21"/>
              </w:rPr>
              <w:t>Advisable to include contact phone and email for questions.</w:t>
            </w:r>
          </w:p>
        </w:tc>
        <w:tc>
          <w:tcPr>
            <w:tcW w:w="1376" w:type="dxa"/>
          </w:tcPr>
          <w:p w14:paraId="468227A5" w14:textId="77777777" w:rsidR="00BC3756" w:rsidRPr="00A0019E" w:rsidRDefault="00BC3756" w:rsidP="001270E9">
            <w:pPr>
              <w:rPr>
                <w:sz w:val="21"/>
                <w:szCs w:val="21"/>
              </w:rPr>
            </w:pPr>
          </w:p>
        </w:tc>
      </w:tr>
      <w:tr w:rsidR="00B51FD0" w:rsidRPr="00A0019E" w14:paraId="2AB8F825" w14:textId="77777777" w:rsidTr="004E37F5">
        <w:tc>
          <w:tcPr>
            <w:tcW w:w="1165" w:type="dxa"/>
          </w:tcPr>
          <w:p w14:paraId="18AA244E" w14:textId="77777777" w:rsidR="002B162F" w:rsidRPr="00A0019E" w:rsidRDefault="002B162F" w:rsidP="002B162F">
            <w:pPr>
              <w:rPr>
                <w:sz w:val="21"/>
                <w:szCs w:val="21"/>
              </w:rPr>
            </w:pPr>
            <w:r w:rsidRPr="00A0019E">
              <w:rPr>
                <w:sz w:val="21"/>
                <w:szCs w:val="21"/>
              </w:rPr>
              <w:sym w:font="Wingdings" w:char="F06F"/>
            </w:r>
          </w:p>
        </w:tc>
        <w:tc>
          <w:tcPr>
            <w:tcW w:w="2086" w:type="dxa"/>
          </w:tcPr>
          <w:p w14:paraId="523F77BC" w14:textId="77777777" w:rsidR="002B162F" w:rsidRPr="00A0019E" w:rsidRDefault="002B162F" w:rsidP="002B162F">
            <w:pPr>
              <w:rPr>
                <w:sz w:val="21"/>
                <w:szCs w:val="21"/>
              </w:rPr>
            </w:pPr>
            <w:r w:rsidRPr="00A0019E">
              <w:rPr>
                <w:sz w:val="21"/>
                <w:szCs w:val="21"/>
              </w:rPr>
              <w:t>Descriptive title</w:t>
            </w:r>
          </w:p>
        </w:tc>
        <w:tc>
          <w:tcPr>
            <w:tcW w:w="1514" w:type="dxa"/>
          </w:tcPr>
          <w:p w14:paraId="67E1585D" w14:textId="77777777" w:rsidR="002B162F" w:rsidRPr="00A0019E" w:rsidRDefault="002B162F" w:rsidP="002B162F">
            <w:pPr>
              <w:rPr>
                <w:sz w:val="21"/>
                <w:szCs w:val="21"/>
              </w:rPr>
            </w:pPr>
            <w:r w:rsidRPr="00A0019E">
              <w:rPr>
                <w:sz w:val="21"/>
                <w:szCs w:val="21"/>
              </w:rPr>
              <w:t>NE Filing Requirement</w:t>
            </w:r>
          </w:p>
        </w:tc>
        <w:tc>
          <w:tcPr>
            <w:tcW w:w="3209" w:type="dxa"/>
          </w:tcPr>
          <w:p w14:paraId="4B07C54C" w14:textId="77777777" w:rsidR="002B162F" w:rsidRPr="00A0019E" w:rsidRDefault="002B162F" w:rsidP="002B162F">
            <w:pPr>
              <w:rPr>
                <w:rFonts w:cstheme="minorHAnsi"/>
                <w:sz w:val="21"/>
                <w:szCs w:val="21"/>
              </w:rPr>
            </w:pPr>
            <w:r w:rsidRPr="00A0019E">
              <w:rPr>
                <w:rFonts w:cstheme="minorHAnsi"/>
                <w:color w:val="333333"/>
                <w:sz w:val="21"/>
                <w:szCs w:val="21"/>
                <w:lang w:val="en"/>
              </w:rPr>
              <w:t xml:space="preserve">A brief description of the type of annuity. </w:t>
            </w:r>
          </w:p>
        </w:tc>
        <w:tc>
          <w:tcPr>
            <w:tcW w:w="1376" w:type="dxa"/>
          </w:tcPr>
          <w:p w14:paraId="0428C277" w14:textId="77777777" w:rsidR="002B162F" w:rsidRPr="00A0019E" w:rsidRDefault="002B162F" w:rsidP="002B162F">
            <w:pPr>
              <w:rPr>
                <w:sz w:val="21"/>
                <w:szCs w:val="21"/>
              </w:rPr>
            </w:pPr>
          </w:p>
        </w:tc>
      </w:tr>
      <w:tr w:rsidR="00B51FD0" w:rsidRPr="00A0019E" w14:paraId="03B28639" w14:textId="77777777" w:rsidTr="004E37F5">
        <w:tc>
          <w:tcPr>
            <w:tcW w:w="1165" w:type="dxa"/>
          </w:tcPr>
          <w:p w14:paraId="15145DAA" w14:textId="77777777" w:rsidR="002B162F" w:rsidRPr="00A0019E" w:rsidRDefault="002B162F" w:rsidP="002B162F">
            <w:pPr>
              <w:rPr>
                <w:sz w:val="21"/>
                <w:szCs w:val="21"/>
              </w:rPr>
            </w:pPr>
            <w:r w:rsidRPr="00A0019E">
              <w:rPr>
                <w:sz w:val="21"/>
                <w:szCs w:val="21"/>
              </w:rPr>
              <w:sym w:font="Wingdings" w:char="F06F"/>
            </w:r>
          </w:p>
        </w:tc>
        <w:tc>
          <w:tcPr>
            <w:tcW w:w="2086" w:type="dxa"/>
          </w:tcPr>
          <w:p w14:paraId="4959FB67" w14:textId="77777777" w:rsidR="002B162F" w:rsidRPr="00A0019E" w:rsidRDefault="002B162F" w:rsidP="002B162F">
            <w:pPr>
              <w:rPr>
                <w:sz w:val="21"/>
                <w:szCs w:val="21"/>
              </w:rPr>
            </w:pPr>
            <w:r w:rsidRPr="00A0019E">
              <w:rPr>
                <w:sz w:val="21"/>
                <w:szCs w:val="21"/>
              </w:rPr>
              <w:t>Two officers’ signatures required on face page</w:t>
            </w:r>
          </w:p>
        </w:tc>
        <w:tc>
          <w:tcPr>
            <w:tcW w:w="1514" w:type="dxa"/>
          </w:tcPr>
          <w:p w14:paraId="1C0E848C" w14:textId="77777777" w:rsidR="002B162F" w:rsidRPr="00A0019E" w:rsidRDefault="00DB645B" w:rsidP="002B162F">
            <w:pPr>
              <w:rPr>
                <w:sz w:val="21"/>
                <w:szCs w:val="21"/>
              </w:rPr>
            </w:pPr>
            <w:hyperlink r:id="rId9" w:history="1">
              <w:r w:rsidR="002B162F" w:rsidRPr="00A0019E">
                <w:rPr>
                  <w:rStyle w:val="Hyperlink"/>
                  <w:sz w:val="21"/>
                  <w:szCs w:val="21"/>
                </w:rPr>
                <w:t>§44-701</w:t>
              </w:r>
            </w:hyperlink>
          </w:p>
        </w:tc>
        <w:tc>
          <w:tcPr>
            <w:tcW w:w="3209" w:type="dxa"/>
          </w:tcPr>
          <w:p w14:paraId="73FFB870" w14:textId="77777777" w:rsidR="002B162F" w:rsidRPr="00A0019E" w:rsidRDefault="002B162F" w:rsidP="002B162F">
            <w:pPr>
              <w:rPr>
                <w:sz w:val="21"/>
                <w:szCs w:val="21"/>
              </w:rPr>
            </w:pPr>
            <w:r w:rsidRPr="00A0019E">
              <w:rPr>
                <w:sz w:val="21"/>
                <w:szCs w:val="21"/>
              </w:rPr>
              <w:t>Can be bracketed as variable for future replacement of officers.</w:t>
            </w:r>
          </w:p>
        </w:tc>
        <w:tc>
          <w:tcPr>
            <w:tcW w:w="1376" w:type="dxa"/>
          </w:tcPr>
          <w:p w14:paraId="345388C4" w14:textId="77777777" w:rsidR="002B162F" w:rsidRPr="00A0019E" w:rsidRDefault="002B162F" w:rsidP="002B162F">
            <w:pPr>
              <w:rPr>
                <w:sz w:val="21"/>
                <w:szCs w:val="21"/>
              </w:rPr>
            </w:pPr>
          </w:p>
        </w:tc>
      </w:tr>
      <w:tr w:rsidR="00B51FD0" w:rsidRPr="00A0019E" w14:paraId="7E1C4B4C" w14:textId="77777777" w:rsidTr="004E37F5">
        <w:tc>
          <w:tcPr>
            <w:tcW w:w="1165" w:type="dxa"/>
          </w:tcPr>
          <w:p w14:paraId="72D3E2F7" w14:textId="77777777" w:rsidR="002B162F" w:rsidRPr="00A0019E" w:rsidRDefault="002B162F" w:rsidP="002B162F">
            <w:pPr>
              <w:rPr>
                <w:sz w:val="21"/>
                <w:szCs w:val="21"/>
              </w:rPr>
            </w:pPr>
            <w:r w:rsidRPr="00A0019E">
              <w:rPr>
                <w:sz w:val="21"/>
                <w:szCs w:val="21"/>
              </w:rPr>
              <w:sym w:font="Wingdings" w:char="F06F"/>
            </w:r>
          </w:p>
        </w:tc>
        <w:tc>
          <w:tcPr>
            <w:tcW w:w="2086" w:type="dxa"/>
          </w:tcPr>
          <w:p w14:paraId="45B708A7" w14:textId="77777777" w:rsidR="002B162F" w:rsidRPr="00A0019E" w:rsidRDefault="002B162F" w:rsidP="002B162F">
            <w:pPr>
              <w:rPr>
                <w:sz w:val="21"/>
                <w:szCs w:val="21"/>
              </w:rPr>
            </w:pPr>
            <w:r w:rsidRPr="00A0019E">
              <w:rPr>
                <w:sz w:val="21"/>
                <w:szCs w:val="21"/>
              </w:rPr>
              <w:t>Form number</w:t>
            </w:r>
          </w:p>
        </w:tc>
        <w:tc>
          <w:tcPr>
            <w:tcW w:w="1514" w:type="dxa"/>
          </w:tcPr>
          <w:p w14:paraId="19D3D04D" w14:textId="77777777" w:rsidR="002B162F" w:rsidRPr="00A0019E" w:rsidRDefault="002B162F" w:rsidP="002B162F">
            <w:pPr>
              <w:rPr>
                <w:sz w:val="21"/>
                <w:szCs w:val="21"/>
              </w:rPr>
            </w:pPr>
            <w:r w:rsidRPr="00A0019E">
              <w:rPr>
                <w:sz w:val="21"/>
                <w:szCs w:val="21"/>
              </w:rPr>
              <w:t>NE Filing Requirement</w:t>
            </w:r>
          </w:p>
        </w:tc>
        <w:tc>
          <w:tcPr>
            <w:tcW w:w="3209" w:type="dxa"/>
          </w:tcPr>
          <w:p w14:paraId="6DEAE772" w14:textId="77777777" w:rsidR="002B162F" w:rsidRPr="00A0019E" w:rsidRDefault="002B162F" w:rsidP="002B162F">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p>
        </w:tc>
        <w:tc>
          <w:tcPr>
            <w:tcW w:w="1376" w:type="dxa"/>
          </w:tcPr>
          <w:p w14:paraId="67BDF992" w14:textId="77777777" w:rsidR="002B162F" w:rsidRPr="00A0019E" w:rsidRDefault="002B162F" w:rsidP="002B162F">
            <w:pPr>
              <w:rPr>
                <w:sz w:val="21"/>
                <w:szCs w:val="21"/>
              </w:rPr>
            </w:pPr>
          </w:p>
        </w:tc>
      </w:tr>
      <w:tr w:rsidR="002D4F38" w:rsidRPr="00A0019E" w14:paraId="0BAF9D36" w14:textId="77777777" w:rsidTr="00283435">
        <w:tc>
          <w:tcPr>
            <w:tcW w:w="1165" w:type="dxa"/>
            <w:shd w:val="clear" w:color="auto" w:fill="E7E6E6" w:themeFill="background2"/>
          </w:tcPr>
          <w:p w14:paraId="1E81AD14" w14:textId="77777777" w:rsidR="002D4F38" w:rsidRPr="00A0019E" w:rsidRDefault="002D4F38" w:rsidP="002D4F38">
            <w:pPr>
              <w:rPr>
                <w:b/>
                <w:sz w:val="21"/>
                <w:szCs w:val="21"/>
              </w:rPr>
            </w:pPr>
          </w:p>
        </w:tc>
        <w:tc>
          <w:tcPr>
            <w:tcW w:w="8185" w:type="dxa"/>
            <w:gridSpan w:val="4"/>
            <w:shd w:val="clear" w:color="auto" w:fill="E7E6E6" w:themeFill="background2"/>
          </w:tcPr>
          <w:p w14:paraId="6FD9A584" w14:textId="77777777" w:rsidR="002D4F38" w:rsidRPr="00A0019E" w:rsidRDefault="00D36172" w:rsidP="002D4F38">
            <w:pPr>
              <w:rPr>
                <w:sz w:val="21"/>
                <w:szCs w:val="21"/>
              </w:rPr>
            </w:pPr>
            <w:r>
              <w:rPr>
                <w:b/>
                <w:sz w:val="21"/>
                <w:szCs w:val="21"/>
              </w:rPr>
              <w:t>GENERAL PROVISIONS</w:t>
            </w:r>
          </w:p>
        </w:tc>
      </w:tr>
      <w:tr w:rsidR="00B51FD0" w:rsidRPr="00A0019E" w14:paraId="2E5E409F" w14:textId="77777777" w:rsidTr="004E37F5">
        <w:trPr>
          <w:trHeight w:val="233"/>
        </w:trPr>
        <w:tc>
          <w:tcPr>
            <w:tcW w:w="1165" w:type="dxa"/>
          </w:tcPr>
          <w:p w14:paraId="6B2ED597" w14:textId="77777777" w:rsidR="002D4F38" w:rsidRPr="00A0019E" w:rsidRDefault="002D4F38" w:rsidP="002D4F38">
            <w:pPr>
              <w:rPr>
                <w:sz w:val="21"/>
                <w:szCs w:val="21"/>
              </w:rPr>
            </w:pPr>
            <w:r w:rsidRPr="00A0019E">
              <w:rPr>
                <w:sz w:val="21"/>
                <w:szCs w:val="21"/>
              </w:rPr>
              <w:sym w:font="Wingdings" w:char="F06F"/>
            </w:r>
          </w:p>
        </w:tc>
        <w:tc>
          <w:tcPr>
            <w:tcW w:w="2086" w:type="dxa"/>
          </w:tcPr>
          <w:p w14:paraId="7EC4EBCD" w14:textId="77777777" w:rsidR="002D4F38" w:rsidRPr="00A0019E" w:rsidRDefault="002D4F38" w:rsidP="002D4F38">
            <w:pPr>
              <w:rPr>
                <w:sz w:val="21"/>
                <w:szCs w:val="21"/>
              </w:rPr>
            </w:pPr>
            <w:r w:rsidRPr="00A0019E">
              <w:rPr>
                <w:sz w:val="21"/>
                <w:szCs w:val="21"/>
              </w:rPr>
              <w:t xml:space="preserve">Policy and Statutory definitions, if any  </w:t>
            </w:r>
          </w:p>
        </w:tc>
        <w:tc>
          <w:tcPr>
            <w:tcW w:w="1514" w:type="dxa"/>
          </w:tcPr>
          <w:p w14:paraId="639711AE" w14:textId="77777777" w:rsidR="002D4F38" w:rsidRPr="00FA7769" w:rsidRDefault="002D4F38" w:rsidP="002D4F38">
            <w:pPr>
              <w:rPr>
                <w:rStyle w:val="Hyperlink"/>
                <w:color w:val="auto"/>
                <w:sz w:val="21"/>
                <w:szCs w:val="21"/>
                <w:u w:val="none"/>
              </w:rPr>
            </w:pPr>
            <w:r>
              <w:rPr>
                <w:rStyle w:val="Hyperlink"/>
                <w:color w:val="auto"/>
                <w:sz w:val="21"/>
                <w:szCs w:val="21"/>
                <w:u w:val="none"/>
              </w:rPr>
              <w:t>NE Filing Requirement,</w:t>
            </w:r>
          </w:p>
          <w:p w14:paraId="358E23F1" w14:textId="31957CEA" w:rsidR="002D4F38" w:rsidRPr="00FA7769" w:rsidRDefault="00DB645B" w:rsidP="002D4F38">
            <w:pPr>
              <w:rPr>
                <w:sz w:val="21"/>
                <w:szCs w:val="21"/>
              </w:rPr>
            </w:pPr>
            <w:hyperlink r:id="rId10" w:history="1">
              <w:r w:rsidR="00620DF9" w:rsidRPr="004E37F5">
                <w:rPr>
                  <w:rStyle w:val="Hyperlink"/>
                  <w:sz w:val="21"/>
                  <w:szCs w:val="21"/>
                </w:rPr>
                <w:t>NAIC Model 200</w:t>
              </w:r>
              <w:r w:rsidR="004E37F5" w:rsidRPr="004E37F5">
                <w:rPr>
                  <w:rStyle w:val="Hyperlink"/>
                  <w:sz w:val="21"/>
                  <w:szCs w:val="21"/>
                </w:rPr>
                <w:t xml:space="preserve"> section 4</w:t>
              </w:r>
            </w:hyperlink>
          </w:p>
        </w:tc>
        <w:tc>
          <w:tcPr>
            <w:tcW w:w="3209" w:type="dxa"/>
          </w:tcPr>
          <w:p w14:paraId="2905A553" w14:textId="77777777" w:rsidR="002D4F38" w:rsidRPr="00A0019E" w:rsidRDefault="002D4F38" w:rsidP="002D4F38">
            <w:pPr>
              <w:rPr>
                <w:sz w:val="21"/>
                <w:szCs w:val="21"/>
              </w:rPr>
            </w:pPr>
            <w:r w:rsidRPr="00A0019E">
              <w:rPr>
                <w:sz w:val="21"/>
                <w:szCs w:val="21"/>
              </w:rPr>
              <w:t>Include definitions for terms used in contract.</w:t>
            </w:r>
          </w:p>
        </w:tc>
        <w:tc>
          <w:tcPr>
            <w:tcW w:w="1376" w:type="dxa"/>
          </w:tcPr>
          <w:p w14:paraId="58A433A6" w14:textId="77777777" w:rsidR="002D4F38" w:rsidRPr="00A0019E" w:rsidRDefault="002D4F38" w:rsidP="002D4F38">
            <w:pPr>
              <w:rPr>
                <w:sz w:val="21"/>
                <w:szCs w:val="21"/>
              </w:rPr>
            </w:pPr>
          </w:p>
        </w:tc>
      </w:tr>
      <w:tr w:rsidR="00B51FD0" w:rsidRPr="00A0019E" w14:paraId="4535D42F" w14:textId="77777777" w:rsidTr="004E37F5">
        <w:trPr>
          <w:trHeight w:val="233"/>
        </w:trPr>
        <w:tc>
          <w:tcPr>
            <w:tcW w:w="1165" w:type="dxa"/>
          </w:tcPr>
          <w:p w14:paraId="70E1DB04" w14:textId="77777777" w:rsidR="002D4F38" w:rsidRPr="00A0019E" w:rsidRDefault="002D4F38" w:rsidP="002D4F38">
            <w:pPr>
              <w:rPr>
                <w:sz w:val="21"/>
                <w:szCs w:val="21"/>
              </w:rPr>
            </w:pPr>
            <w:r w:rsidRPr="00A0019E">
              <w:rPr>
                <w:sz w:val="21"/>
                <w:szCs w:val="21"/>
              </w:rPr>
              <w:sym w:font="Wingdings" w:char="F06F"/>
            </w:r>
          </w:p>
        </w:tc>
        <w:tc>
          <w:tcPr>
            <w:tcW w:w="2086" w:type="dxa"/>
          </w:tcPr>
          <w:p w14:paraId="239C1EB1" w14:textId="77777777" w:rsidR="002D4F38" w:rsidRPr="008C41AD" w:rsidRDefault="002D4F38" w:rsidP="002D4F38">
            <w:pPr>
              <w:rPr>
                <w:sz w:val="21"/>
                <w:szCs w:val="21"/>
              </w:rPr>
            </w:pPr>
            <w:r>
              <w:rPr>
                <w:sz w:val="21"/>
                <w:szCs w:val="21"/>
              </w:rPr>
              <w:t xml:space="preserve">Types of </w:t>
            </w:r>
            <w:r w:rsidRPr="008C41AD">
              <w:rPr>
                <w:sz w:val="21"/>
                <w:szCs w:val="21"/>
              </w:rPr>
              <w:t>Eligible groups</w:t>
            </w:r>
          </w:p>
        </w:tc>
        <w:tc>
          <w:tcPr>
            <w:tcW w:w="1514" w:type="dxa"/>
          </w:tcPr>
          <w:p w14:paraId="3752380E" w14:textId="77777777" w:rsidR="002D4F38" w:rsidRPr="00A0019E" w:rsidRDefault="00DB645B" w:rsidP="002D4F38">
            <w:pPr>
              <w:rPr>
                <w:sz w:val="21"/>
                <w:szCs w:val="21"/>
              </w:rPr>
            </w:pPr>
            <w:hyperlink r:id="rId11" w:history="1">
              <w:r w:rsidR="002D4F38">
                <w:rPr>
                  <w:rStyle w:val="Hyperlink"/>
                  <w:sz w:val="21"/>
                  <w:szCs w:val="21"/>
                </w:rPr>
                <w:t>§44-1601</w:t>
              </w:r>
            </w:hyperlink>
          </w:p>
        </w:tc>
        <w:tc>
          <w:tcPr>
            <w:tcW w:w="3209" w:type="dxa"/>
          </w:tcPr>
          <w:p w14:paraId="683D3D10" w14:textId="77777777" w:rsidR="002D4F38" w:rsidRPr="00A0019E" w:rsidRDefault="002D4F38" w:rsidP="002D4F38">
            <w:pPr>
              <w:rPr>
                <w:sz w:val="21"/>
                <w:szCs w:val="21"/>
              </w:rPr>
            </w:pPr>
            <w:r w:rsidRPr="008C41AD">
              <w:rPr>
                <w:sz w:val="21"/>
                <w:szCs w:val="21"/>
              </w:rPr>
              <w:t xml:space="preserve">Eligible groups include: employer/employee, union, association, </w:t>
            </w:r>
            <w:r w:rsidR="00D633A5" w:rsidRPr="008C41AD">
              <w:rPr>
                <w:sz w:val="21"/>
                <w:szCs w:val="21"/>
              </w:rPr>
              <w:t>and creditor</w:t>
            </w:r>
            <w:r w:rsidRPr="008C41AD">
              <w:rPr>
                <w:sz w:val="21"/>
                <w:szCs w:val="21"/>
              </w:rPr>
              <w:t>.  The cover letter needs to define the eligible group</w:t>
            </w:r>
            <w:r>
              <w:rPr>
                <w:sz w:val="21"/>
                <w:szCs w:val="21"/>
              </w:rPr>
              <w:t>.</w:t>
            </w:r>
          </w:p>
        </w:tc>
        <w:tc>
          <w:tcPr>
            <w:tcW w:w="1376" w:type="dxa"/>
          </w:tcPr>
          <w:p w14:paraId="105C6FB3" w14:textId="77777777" w:rsidR="002D4F38" w:rsidRPr="00A0019E" w:rsidRDefault="002D4F38" w:rsidP="002D4F38">
            <w:pPr>
              <w:rPr>
                <w:sz w:val="21"/>
                <w:szCs w:val="21"/>
              </w:rPr>
            </w:pPr>
          </w:p>
        </w:tc>
      </w:tr>
      <w:tr w:rsidR="00B51FD0" w:rsidRPr="00A0019E" w14:paraId="5811CAF3" w14:textId="77777777" w:rsidTr="004E37F5">
        <w:tc>
          <w:tcPr>
            <w:tcW w:w="1165" w:type="dxa"/>
          </w:tcPr>
          <w:p w14:paraId="3D19E4B8" w14:textId="77777777" w:rsidR="002D4F38" w:rsidRPr="00A0019E" w:rsidRDefault="002D4F38" w:rsidP="002D4F38">
            <w:pPr>
              <w:rPr>
                <w:sz w:val="21"/>
                <w:szCs w:val="21"/>
              </w:rPr>
            </w:pPr>
            <w:r w:rsidRPr="00A0019E">
              <w:rPr>
                <w:sz w:val="21"/>
                <w:szCs w:val="21"/>
              </w:rPr>
              <w:sym w:font="Wingdings" w:char="F06F"/>
            </w:r>
          </w:p>
        </w:tc>
        <w:tc>
          <w:tcPr>
            <w:tcW w:w="2086" w:type="dxa"/>
          </w:tcPr>
          <w:p w14:paraId="256831ED" w14:textId="77777777" w:rsidR="002D4F38" w:rsidRPr="00A0019E" w:rsidRDefault="002D4F38" w:rsidP="002D4F38">
            <w:pPr>
              <w:rPr>
                <w:sz w:val="21"/>
                <w:szCs w:val="21"/>
              </w:rPr>
            </w:pPr>
            <w:r w:rsidRPr="00A0019E">
              <w:rPr>
                <w:sz w:val="21"/>
                <w:szCs w:val="21"/>
              </w:rPr>
              <w:t>Entire contract</w:t>
            </w:r>
          </w:p>
        </w:tc>
        <w:tc>
          <w:tcPr>
            <w:tcW w:w="1514" w:type="dxa"/>
          </w:tcPr>
          <w:p w14:paraId="295004BA" w14:textId="77777777" w:rsidR="002D4F38" w:rsidRPr="00A0019E" w:rsidRDefault="00DB645B" w:rsidP="002D4F38">
            <w:pPr>
              <w:rPr>
                <w:sz w:val="21"/>
                <w:szCs w:val="21"/>
              </w:rPr>
            </w:pPr>
            <w:hyperlink r:id="rId12" w:history="1">
              <w:r w:rsidR="002D4F38">
                <w:rPr>
                  <w:rStyle w:val="Hyperlink"/>
                  <w:sz w:val="21"/>
                  <w:szCs w:val="21"/>
                </w:rPr>
                <w:t>§44-1607</w:t>
              </w:r>
            </w:hyperlink>
          </w:p>
        </w:tc>
        <w:tc>
          <w:tcPr>
            <w:tcW w:w="3209" w:type="dxa"/>
          </w:tcPr>
          <w:p w14:paraId="7DD20CD0" w14:textId="77777777" w:rsidR="002D4F38" w:rsidRPr="00A0019E" w:rsidRDefault="002D4F38" w:rsidP="002D4F38">
            <w:pPr>
              <w:rPr>
                <w:sz w:val="21"/>
                <w:szCs w:val="21"/>
              </w:rPr>
            </w:pPr>
            <w:r w:rsidRPr="00A0019E">
              <w:rPr>
                <w:sz w:val="21"/>
                <w:szCs w:val="21"/>
              </w:rPr>
              <w:t xml:space="preserve">The policy </w:t>
            </w:r>
            <w:r>
              <w:rPr>
                <w:sz w:val="21"/>
                <w:szCs w:val="21"/>
              </w:rPr>
              <w:t>must state what forms and documents comprise the contract.</w:t>
            </w:r>
          </w:p>
        </w:tc>
        <w:tc>
          <w:tcPr>
            <w:tcW w:w="1376" w:type="dxa"/>
          </w:tcPr>
          <w:p w14:paraId="7E427F12" w14:textId="77777777" w:rsidR="002D4F38" w:rsidRPr="00A0019E" w:rsidRDefault="002D4F38" w:rsidP="002D4F38">
            <w:pPr>
              <w:rPr>
                <w:sz w:val="21"/>
                <w:szCs w:val="21"/>
              </w:rPr>
            </w:pPr>
          </w:p>
        </w:tc>
      </w:tr>
      <w:tr w:rsidR="00B51FD0" w:rsidRPr="00A0019E" w14:paraId="43AB7477" w14:textId="77777777" w:rsidTr="004E37F5">
        <w:tc>
          <w:tcPr>
            <w:tcW w:w="1165" w:type="dxa"/>
          </w:tcPr>
          <w:p w14:paraId="3DA3BE65" w14:textId="77777777" w:rsidR="002D4F38" w:rsidRPr="00A0019E" w:rsidRDefault="002D4F38" w:rsidP="002D4F38">
            <w:pPr>
              <w:rPr>
                <w:sz w:val="21"/>
                <w:szCs w:val="21"/>
              </w:rPr>
            </w:pPr>
            <w:r w:rsidRPr="00A0019E">
              <w:rPr>
                <w:sz w:val="21"/>
                <w:szCs w:val="21"/>
              </w:rPr>
              <w:lastRenderedPageBreak/>
              <w:sym w:font="Wingdings" w:char="F06F"/>
            </w:r>
          </w:p>
        </w:tc>
        <w:tc>
          <w:tcPr>
            <w:tcW w:w="2086" w:type="dxa"/>
          </w:tcPr>
          <w:p w14:paraId="4DCBF4AB" w14:textId="77777777" w:rsidR="002D4F38" w:rsidRPr="00A0019E" w:rsidRDefault="002D4F38" w:rsidP="002D4F38">
            <w:pPr>
              <w:rPr>
                <w:sz w:val="21"/>
                <w:szCs w:val="21"/>
              </w:rPr>
            </w:pPr>
            <w:r>
              <w:rPr>
                <w:sz w:val="21"/>
                <w:szCs w:val="21"/>
              </w:rPr>
              <w:t>Grace Period</w:t>
            </w:r>
          </w:p>
        </w:tc>
        <w:tc>
          <w:tcPr>
            <w:tcW w:w="1514" w:type="dxa"/>
          </w:tcPr>
          <w:p w14:paraId="24762501" w14:textId="77777777" w:rsidR="002D4F38" w:rsidRPr="00A0019E" w:rsidRDefault="00DB645B" w:rsidP="002D4F38">
            <w:pPr>
              <w:rPr>
                <w:sz w:val="21"/>
                <w:szCs w:val="21"/>
              </w:rPr>
            </w:pPr>
            <w:hyperlink r:id="rId13" w:history="1">
              <w:r w:rsidR="002D4F38">
                <w:rPr>
                  <w:rStyle w:val="Hyperlink"/>
                  <w:sz w:val="21"/>
                  <w:szCs w:val="21"/>
                </w:rPr>
                <w:t>§44-1607</w:t>
              </w:r>
            </w:hyperlink>
          </w:p>
        </w:tc>
        <w:tc>
          <w:tcPr>
            <w:tcW w:w="3209" w:type="dxa"/>
          </w:tcPr>
          <w:p w14:paraId="63766BE1" w14:textId="77777777" w:rsidR="002D4F38" w:rsidRPr="00A0019E" w:rsidRDefault="002D4F38" w:rsidP="002D4F38">
            <w:pPr>
              <w:rPr>
                <w:sz w:val="21"/>
                <w:szCs w:val="21"/>
              </w:rPr>
            </w:pPr>
            <w:r w:rsidRPr="00571E61">
              <w:rPr>
                <w:sz w:val="21"/>
                <w:szCs w:val="21"/>
              </w:rPr>
              <w:t>Policyholders of fixed premium policies must have a grace period of not less than 31 days for the payment of premium.</w:t>
            </w:r>
          </w:p>
        </w:tc>
        <w:tc>
          <w:tcPr>
            <w:tcW w:w="1376" w:type="dxa"/>
          </w:tcPr>
          <w:p w14:paraId="511592BE" w14:textId="77777777" w:rsidR="002D4F38" w:rsidRPr="00A0019E" w:rsidRDefault="002D4F38" w:rsidP="002D4F38">
            <w:pPr>
              <w:rPr>
                <w:sz w:val="21"/>
                <w:szCs w:val="21"/>
              </w:rPr>
            </w:pPr>
          </w:p>
        </w:tc>
      </w:tr>
      <w:tr w:rsidR="00B51FD0" w:rsidRPr="00A0019E" w14:paraId="5061DA39" w14:textId="77777777" w:rsidTr="004E37F5">
        <w:tc>
          <w:tcPr>
            <w:tcW w:w="1165" w:type="dxa"/>
          </w:tcPr>
          <w:p w14:paraId="239FD339" w14:textId="77777777" w:rsidR="002D4F38" w:rsidRPr="00A0019E" w:rsidRDefault="002D4F38" w:rsidP="002D4F38">
            <w:pPr>
              <w:rPr>
                <w:sz w:val="21"/>
                <w:szCs w:val="21"/>
              </w:rPr>
            </w:pPr>
            <w:r w:rsidRPr="00A0019E">
              <w:rPr>
                <w:sz w:val="21"/>
                <w:szCs w:val="21"/>
              </w:rPr>
              <w:sym w:font="Wingdings" w:char="F06F"/>
            </w:r>
          </w:p>
        </w:tc>
        <w:tc>
          <w:tcPr>
            <w:tcW w:w="2086" w:type="dxa"/>
          </w:tcPr>
          <w:p w14:paraId="4576EAF4" w14:textId="77777777" w:rsidR="002D4F38" w:rsidRPr="00A0019E" w:rsidRDefault="002D4F38" w:rsidP="002D4F38">
            <w:pPr>
              <w:rPr>
                <w:sz w:val="21"/>
                <w:szCs w:val="21"/>
              </w:rPr>
            </w:pPr>
            <w:r w:rsidRPr="00A0019E">
              <w:rPr>
                <w:sz w:val="21"/>
                <w:szCs w:val="21"/>
              </w:rPr>
              <w:t>Incontestability</w:t>
            </w:r>
          </w:p>
        </w:tc>
        <w:tc>
          <w:tcPr>
            <w:tcW w:w="1514" w:type="dxa"/>
          </w:tcPr>
          <w:p w14:paraId="7E2063C9" w14:textId="77777777" w:rsidR="002D4F38" w:rsidRPr="00A0019E" w:rsidRDefault="00DB645B" w:rsidP="002D4F38">
            <w:pPr>
              <w:rPr>
                <w:sz w:val="21"/>
                <w:szCs w:val="21"/>
              </w:rPr>
            </w:pPr>
            <w:hyperlink r:id="rId14" w:history="1">
              <w:r w:rsidR="002D4F38">
                <w:rPr>
                  <w:rStyle w:val="Hyperlink"/>
                  <w:sz w:val="21"/>
                  <w:szCs w:val="21"/>
                </w:rPr>
                <w:t>§44-1607</w:t>
              </w:r>
            </w:hyperlink>
          </w:p>
        </w:tc>
        <w:tc>
          <w:tcPr>
            <w:tcW w:w="3209" w:type="dxa"/>
          </w:tcPr>
          <w:p w14:paraId="3BA10B5C" w14:textId="77777777" w:rsidR="002D4F38" w:rsidRPr="00A0019E" w:rsidRDefault="002D4F38" w:rsidP="002D4F38">
            <w:pPr>
              <w:rPr>
                <w:sz w:val="21"/>
                <w:szCs w:val="21"/>
              </w:rPr>
            </w:pPr>
            <w:r w:rsidRPr="00232822">
              <w:rPr>
                <w:sz w:val="21"/>
                <w:szCs w:val="21"/>
              </w:rPr>
              <w:t>Validity of the policy shall not be contested, except for nonpayment of premiums, after it has been in force for tw</w:t>
            </w:r>
            <w:r>
              <w:rPr>
                <w:sz w:val="21"/>
                <w:szCs w:val="21"/>
              </w:rPr>
              <w:t>o years from its date of issue.</w:t>
            </w:r>
          </w:p>
        </w:tc>
        <w:tc>
          <w:tcPr>
            <w:tcW w:w="1376" w:type="dxa"/>
          </w:tcPr>
          <w:p w14:paraId="2C3D8D48" w14:textId="77777777" w:rsidR="002D4F38" w:rsidRPr="00A0019E" w:rsidRDefault="002D4F38" w:rsidP="002D4F38">
            <w:pPr>
              <w:rPr>
                <w:sz w:val="21"/>
                <w:szCs w:val="21"/>
              </w:rPr>
            </w:pPr>
          </w:p>
        </w:tc>
      </w:tr>
      <w:tr w:rsidR="00B51FD0" w:rsidRPr="00A0019E" w14:paraId="4371C72D" w14:textId="77777777" w:rsidTr="004E37F5">
        <w:tc>
          <w:tcPr>
            <w:tcW w:w="1165" w:type="dxa"/>
          </w:tcPr>
          <w:p w14:paraId="54FD9918" w14:textId="77777777" w:rsidR="002D4F38" w:rsidRPr="00A0019E" w:rsidRDefault="002D4F38" w:rsidP="002D4F38">
            <w:pPr>
              <w:rPr>
                <w:sz w:val="21"/>
                <w:szCs w:val="21"/>
              </w:rPr>
            </w:pPr>
            <w:r w:rsidRPr="00A0019E">
              <w:rPr>
                <w:sz w:val="21"/>
                <w:szCs w:val="21"/>
              </w:rPr>
              <w:sym w:font="Wingdings" w:char="F06F"/>
            </w:r>
          </w:p>
        </w:tc>
        <w:tc>
          <w:tcPr>
            <w:tcW w:w="2086" w:type="dxa"/>
          </w:tcPr>
          <w:p w14:paraId="1FE70623" w14:textId="77777777" w:rsidR="002D4F38" w:rsidRPr="00A0019E" w:rsidRDefault="002D4F38" w:rsidP="002D4F38">
            <w:pPr>
              <w:rPr>
                <w:sz w:val="21"/>
                <w:szCs w:val="21"/>
              </w:rPr>
            </w:pPr>
            <w:r w:rsidRPr="00A0019E">
              <w:rPr>
                <w:sz w:val="21"/>
                <w:szCs w:val="21"/>
              </w:rPr>
              <w:t xml:space="preserve">Statements are Representations and not Warranties </w:t>
            </w:r>
          </w:p>
        </w:tc>
        <w:tc>
          <w:tcPr>
            <w:tcW w:w="1514" w:type="dxa"/>
          </w:tcPr>
          <w:p w14:paraId="7CE32D13" w14:textId="77777777" w:rsidR="002D4F38" w:rsidRPr="00A0019E" w:rsidRDefault="00DB645B" w:rsidP="002D4F38">
            <w:pPr>
              <w:rPr>
                <w:sz w:val="21"/>
                <w:szCs w:val="21"/>
              </w:rPr>
            </w:pPr>
            <w:hyperlink r:id="rId15" w:history="1">
              <w:r w:rsidR="002D4F38">
                <w:rPr>
                  <w:rStyle w:val="Hyperlink"/>
                  <w:sz w:val="21"/>
                  <w:szCs w:val="21"/>
                </w:rPr>
                <w:t>§44-1607</w:t>
              </w:r>
            </w:hyperlink>
          </w:p>
        </w:tc>
        <w:tc>
          <w:tcPr>
            <w:tcW w:w="3209" w:type="dxa"/>
          </w:tcPr>
          <w:p w14:paraId="3245333B" w14:textId="77777777" w:rsidR="002D4F38" w:rsidRPr="00A0019E" w:rsidRDefault="002D4F38" w:rsidP="002D4F38">
            <w:pPr>
              <w:rPr>
                <w:sz w:val="21"/>
                <w:szCs w:val="21"/>
              </w:rPr>
            </w:pPr>
            <w:r w:rsidRPr="00A0019E">
              <w:rPr>
                <w:sz w:val="21"/>
                <w:szCs w:val="21"/>
              </w:rPr>
              <w:t xml:space="preserve">N/A if policy is not contestable. </w:t>
            </w:r>
          </w:p>
        </w:tc>
        <w:tc>
          <w:tcPr>
            <w:tcW w:w="1376" w:type="dxa"/>
          </w:tcPr>
          <w:p w14:paraId="23CB25B1" w14:textId="77777777" w:rsidR="002D4F38" w:rsidRPr="00A0019E" w:rsidRDefault="002D4F38" w:rsidP="002D4F38">
            <w:pPr>
              <w:rPr>
                <w:sz w:val="21"/>
                <w:szCs w:val="21"/>
              </w:rPr>
            </w:pPr>
          </w:p>
        </w:tc>
      </w:tr>
      <w:tr w:rsidR="00B51FD0" w:rsidRPr="00A0019E" w14:paraId="35386E5E" w14:textId="77777777" w:rsidTr="004E37F5">
        <w:tc>
          <w:tcPr>
            <w:tcW w:w="1165" w:type="dxa"/>
          </w:tcPr>
          <w:p w14:paraId="7EF2D4F2" w14:textId="77777777" w:rsidR="002D4F38" w:rsidRPr="00A0019E" w:rsidRDefault="002D4F38" w:rsidP="002D4F38">
            <w:pPr>
              <w:rPr>
                <w:sz w:val="21"/>
                <w:szCs w:val="21"/>
              </w:rPr>
            </w:pPr>
            <w:r w:rsidRPr="00A0019E">
              <w:rPr>
                <w:sz w:val="21"/>
                <w:szCs w:val="21"/>
              </w:rPr>
              <w:sym w:font="Wingdings" w:char="F06F"/>
            </w:r>
          </w:p>
        </w:tc>
        <w:tc>
          <w:tcPr>
            <w:tcW w:w="2086" w:type="dxa"/>
          </w:tcPr>
          <w:p w14:paraId="44E052AE" w14:textId="77777777" w:rsidR="002D4F38" w:rsidRPr="00A0019E" w:rsidRDefault="002D4F38" w:rsidP="002D4F38">
            <w:pPr>
              <w:rPr>
                <w:sz w:val="21"/>
                <w:szCs w:val="21"/>
              </w:rPr>
            </w:pPr>
            <w:r w:rsidRPr="00A0019E">
              <w:rPr>
                <w:sz w:val="21"/>
                <w:szCs w:val="21"/>
              </w:rPr>
              <w:t>Misstatement of Age (or sex)</w:t>
            </w:r>
          </w:p>
        </w:tc>
        <w:tc>
          <w:tcPr>
            <w:tcW w:w="1514" w:type="dxa"/>
          </w:tcPr>
          <w:p w14:paraId="6CD0C655" w14:textId="77777777" w:rsidR="002D4F38" w:rsidRPr="00A0019E" w:rsidRDefault="00DB645B" w:rsidP="002D4F38">
            <w:pPr>
              <w:rPr>
                <w:sz w:val="21"/>
                <w:szCs w:val="21"/>
              </w:rPr>
            </w:pPr>
            <w:hyperlink r:id="rId16" w:history="1">
              <w:r w:rsidR="002D4F38">
                <w:rPr>
                  <w:rStyle w:val="Hyperlink"/>
                  <w:sz w:val="21"/>
                  <w:szCs w:val="21"/>
                </w:rPr>
                <w:t>§44-1607</w:t>
              </w:r>
            </w:hyperlink>
          </w:p>
        </w:tc>
        <w:tc>
          <w:tcPr>
            <w:tcW w:w="3209" w:type="dxa"/>
          </w:tcPr>
          <w:p w14:paraId="2055A504" w14:textId="77777777" w:rsidR="002D4F38" w:rsidRPr="00A0019E" w:rsidRDefault="002D4F38" w:rsidP="002D4F38">
            <w:pPr>
              <w:rPr>
                <w:sz w:val="21"/>
                <w:szCs w:val="21"/>
              </w:rPr>
            </w:pPr>
            <w:r w:rsidRPr="00A0019E">
              <w:rPr>
                <w:sz w:val="21"/>
                <w:szCs w:val="21"/>
              </w:rPr>
              <w:t>A provision that if the age of the insured has been misstated, the amount payable under the policy shall be such as the premium paid would purchase at the correct age.  Adjustments may be made for overpayments/underpayments.  The maximum interest rate used should not exceed six percent (6%) and should be specified in the contract.</w:t>
            </w:r>
          </w:p>
          <w:p w14:paraId="10A840EE" w14:textId="77777777" w:rsidR="002D4F38" w:rsidRPr="00A0019E" w:rsidRDefault="002D4F38" w:rsidP="002D4F38">
            <w:pPr>
              <w:rPr>
                <w:sz w:val="21"/>
                <w:szCs w:val="21"/>
              </w:rPr>
            </w:pPr>
            <w:r w:rsidRPr="00A0019E">
              <w:rPr>
                <w:sz w:val="21"/>
                <w:szCs w:val="21"/>
              </w:rPr>
              <w:t>Misstatement of “Facts” is too broad.</w:t>
            </w:r>
          </w:p>
        </w:tc>
        <w:tc>
          <w:tcPr>
            <w:tcW w:w="1376" w:type="dxa"/>
          </w:tcPr>
          <w:p w14:paraId="21CF9FF6" w14:textId="77777777" w:rsidR="002D4F38" w:rsidRPr="00A0019E" w:rsidRDefault="002D4F38" w:rsidP="002D4F38">
            <w:pPr>
              <w:rPr>
                <w:sz w:val="21"/>
                <w:szCs w:val="21"/>
              </w:rPr>
            </w:pPr>
          </w:p>
        </w:tc>
      </w:tr>
      <w:tr w:rsidR="00B51FD0" w:rsidRPr="00A0019E" w14:paraId="60E942CC" w14:textId="77777777" w:rsidTr="004E37F5">
        <w:tc>
          <w:tcPr>
            <w:tcW w:w="1165" w:type="dxa"/>
          </w:tcPr>
          <w:p w14:paraId="50EEE95C" w14:textId="77777777" w:rsidR="002D4F38" w:rsidRPr="00A0019E" w:rsidRDefault="002D4F38" w:rsidP="002D4F38">
            <w:pPr>
              <w:rPr>
                <w:sz w:val="21"/>
                <w:szCs w:val="21"/>
              </w:rPr>
            </w:pPr>
            <w:r w:rsidRPr="00A0019E">
              <w:rPr>
                <w:sz w:val="21"/>
                <w:szCs w:val="21"/>
              </w:rPr>
              <w:sym w:font="Wingdings" w:char="F06F"/>
            </w:r>
          </w:p>
        </w:tc>
        <w:tc>
          <w:tcPr>
            <w:tcW w:w="2086" w:type="dxa"/>
          </w:tcPr>
          <w:p w14:paraId="787B46C2" w14:textId="77777777" w:rsidR="002D4F38" w:rsidRPr="00941D7E" w:rsidRDefault="002D4F38" w:rsidP="002D4F38">
            <w:pPr>
              <w:rPr>
                <w:sz w:val="21"/>
                <w:szCs w:val="21"/>
              </w:rPr>
            </w:pPr>
            <w:r w:rsidRPr="00941D7E">
              <w:rPr>
                <w:sz w:val="21"/>
                <w:szCs w:val="21"/>
              </w:rPr>
              <w:t>Beneficiary and Change of Beneficiary</w:t>
            </w:r>
          </w:p>
        </w:tc>
        <w:tc>
          <w:tcPr>
            <w:tcW w:w="1514" w:type="dxa"/>
          </w:tcPr>
          <w:p w14:paraId="2C56869A" w14:textId="77777777" w:rsidR="002D4F38" w:rsidRPr="00941D7E" w:rsidRDefault="00DB645B" w:rsidP="002D4F38">
            <w:pPr>
              <w:rPr>
                <w:sz w:val="21"/>
                <w:szCs w:val="21"/>
              </w:rPr>
            </w:pPr>
            <w:hyperlink r:id="rId17" w:history="1">
              <w:r w:rsidR="002D4F38" w:rsidRPr="00941D7E">
                <w:rPr>
                  <w:rStyle w:val="Hyperlink"/>
                  <w:sz w:val="21"/>
                  <w:szCs w:val="21"/>
                </w:rPr>
                <w:t>§ 44-370</w:t>
              </w:r>
            </w:hyperlink>
          </w:p>
        </w:tc>
        <w:tc>
          <w:tcPr>
            <w:tcW w:w="3209" w:type="dxa"/>
          </w:tcPr>
          <w:p w14:paraId="0E767AD2" w14:textId="77777777" w:rsidR="002D4F38" w:rsidRPr="00941D7E" w:rsidRDefault="002D4F38" w:rsidP="002D4F38">
            <w:pPr>
              <w:rPr>
                <w:sz w:val="21"/>
                <w:szCs w:val="21"/>
              </w:rPr>
            </w:pPr>
            <w:r w:rsidRPr="00941D7E">
              <w:rPr>
                <w:rFonts w:cstheme="minorHAnsi"/>
                <w:sz w:val="21"/>
                <w:szCs w:val="21"/>
              </w:rPr>
              <w:t xml:space="preserve">Provide payments to a named beneficiary upon death of said owner or annuitant. </w:t>
            </w:r>
          </w:p>
        </w:tc>
        <w:tc>
          <w:tcPr>
            <w:tcW w:w="1376" w:type="dxa"/>
          </w:tcPr>
          <w:p w14:paraId="72527898" w14:textId="77777777" w:rsidR="002D4F38" w:rsidRPr="00194028" w:rsidRDefault="002D4F38" w:rsidP="002D4F38">
            <w:pPr>
              <w:rPr>
                <w:sz w:val="21"/>
                <w:szCs w:val="21"/>
                <w:highlight w:val="yellow"/>
              </w:rPr>
            </w:pPr>
          </w:p>
        </w:tc>
      </w:tr>
      <w:tr w:rsidR="00B51FD0" w:rsidRPr="00A0019E" w14:paraId="70F70B96" w14:textId="77777777" w:rsidTr="004E37F5">
        <w:tc>
          <w:tcPr>
            <w:tcW w:w="1165" w:type="dxa"/>
            <w:shd w:val="clear" w:color="auto" w:fill="FFFFFF" w:themeFill="background1"/>
          </w:tcPr>
          <w:p w14:paraId="6FB47562" w14:textId="77777777" w:rsidR="002D4F38" w:rsidRPr="00A0019E" w:rsidRDefault="002D4F38" w:rsidP="002D4F38">
            <w:pPr>
              <w:rPr>
                <w:sz w:val="21"/>
                <w:szCs w:val="21"/>
              </w:rPr>
            </w:pPr>
            <w:r w:rsidRPr="00A0019E">
              <w:rPr>
                <w:sz w:val="21"/>
                <w:szCs w:val="21"/>
              </w:rPr>
              <w:sym w:font="Wingdings" w:char="F06F"/>
            </w:r>
          </w:p>
        </w:tc>
        <w:tc>
          <w:tcPr>
            <w:tcW w:w="2086" w:type="dxa"/>
            <w:shd w:val="clear" w:color="auto" w:fill="FFFFFF" w:themeFill="background1"/>
          </w:tcPr>
          <w:p w14:paraId="7908124E" w14:textId="77777777" w:rsidR="002D4F38" w:rsidRPr="00941D7E" w:rsidRDefault="002D4F38" w:rsidP="002D4F38">
            <w:pPr>
              <w:rPr>
                <w:b/>
                <w:sz w:val="21"/>
                <w:szCs w:val="21"/>
              </w:rPr>
            </w:pPr>
            <w:r w:rsidRPr="00941D7E">
              <w:rPr>
                <w:sz w:val="21"/>
                <w:szCs w:val="21"/>
              </w:rPr>
              <w:t>Ownership</w:t>
            </w:r>
          </w:p>
        </w:tc>
        <w:tc>
          <w:tcPr>
            <w:tcW w:w="1514" w:type="dxa"/>
            <w:shd w:val="clear" w:color="auto" w:fill="FFFFFF" w:themeFill="background1"/>
          </w:tcPr>
          <w:p w14:paraId="45B33525" w14:textId="77777777" w:rsidR="002D4F38" w:rsidRPr="00941D7E" w:rsidRDefault="002D4F38" w:rsidP="002D4F38">
            <w:pPr>
              <w:rPr>
                <w:sz w:val="21"/>
                <w:szCs w:val="21"/>
              </w:rPr>
            </w:pPr>
            <w:r>
              <w:rPr>
                <w:sz w:val="21"/>
                <w:szCs w:val="21"/>
              </w:rPr>
              <w:t>NE Filing Requirement</w:t>
            </w:r>
          </w:p>
        </w:tc>
        <w:tc>
          <w:tcPr>
            <w:tcW w:w="3209" w:type="dxa"/>
            <w:shd w:val="clear" w:color="auto" w:fill="FFFFFF" w:themeFill="background1"/>
          </w:tcPr>
          <w:p w14:paraId="070A9B32" w14:textId="77777777" w:rsidR="002D4F38" w:rsidRPr="00941D7E" w:rsidRDefault="002D4F38" w:rsidP="002D4F38">
            <w:pPr>
              <w:rPr>
                <w:sz w:val="21"/>
                <w:szCs w:val="21"/>
              </w:rPr>
            </w:pPr>
            <w:r w:rsidRPr="00941D7E">
              <w:rPr>
                <w:sz w:val="21"/>
                <w:szCs w:val="21"/>
              </w:rPr>
              <w:t xml:space="preserve">Describe terms for designating or changing Ownership. </w:t>
            </w:r>
          </w:p>
        </w:tc>
        <w:tc>
          <w:tcPr>
            <w:tcW w:w="1376" w:type="dxa"/>
            <w:shd w:val="clear" w:color="auto" w:fill="FFFFFF" w:themeFill="background1"/>
          </w:tcPr>
          <w:p w14:paraId="3CF07CF8" w14:textId="77777777" w:rsidR="002D4F38" w:rsidRPr="00551932" w:rsidRDefault="002D4F38" w:rsidP="002D4F38">
            <w:pPr>
              <w:rPr>
                <w:sz w:val="21"/>
                <w:szCs w:val="21"/>
                <w:highlight w:val="yellow"/>
              </w:rPr>
            </w:pPr>
          </w:p>
        </w:tc>
      </w:tr>
      <w:tr w:rsidR="00B51FD0" w:rsidRPr="00A0019E" w14:paraId="384A8DCD" w14:textId="77777777" w:rsidTr="004E37F5">
        <w:tc>
          <w:tcPr>
            <w:tcW w:w="1165" w:type="dxa"/>
            <w:shd w:val="clear" w:color="auto" w:fill="FFFFFF" w:themeFill="background1"/>
          </w:tcPr>
          <w:p w14:paraId="50845CFF" w14:textId="77777777" w:rsidR="002D4F38" w:rsidRPr="00A0019E" w:rsidRDefault="002D4F38" w:rsidP="002D4F38">
            <w:pPr>
              <w:rPr>
                <w:sz w:val="21"/>
                <w:szCs w:val="21"/>
              </w:rPr>
            </w:pPr>
            <w:r w:rsidRPr="00A0019E">
              <w:rPr>
                <w:sz w:val="21"/>
                <w:szCs w:val="21"/>
              </w:rPr>
              <w:sym w:font="Wingdings" w:char="F06F"/>
            </w:r>
          </w:p>
        </w:tc>
        <w:tc>
          <w:tcPr>
            <w:tcW w:w="2086" w:type="dxa"/>
            <w:shd w:val="clear" w:color="auto" w:fill="FFFFFF" w:themeFill="background1"/>
          </w:tcPr>
          <w:p w14:paraId="00F084DF" w14:textId="77777777" w:rsidR="002D4F38" w:rsidRPr="00D36172" w:rsidRDefault="002D4F38" w:rsidP="002D4F38">
            <w:pPr>
              <w:rPr>
                <w:sz w:val="21"/>
                <w:szCs w:val="21"/>
              </w:rPr>
            </w:pPr>
            <w:r w:rsidRPr="00D36172">
              <w:rPr>
                <w:sz w:val="21"/>
                <w:szCs w:val="21"/>
              </w:rPr>
              <w:t>Death of Owner distributions</w:t>
            </w:r>
          </w:p>
        </w:tc>
        <w:tc>
          <w:tcPr>
            <w:tcW w:w="1514" w:type="dxa"/>
            <w:shd w:val="clear" w:color="auto" w:fill="FFFFFF" w:themeFill="background1"/>
          </w:tcPr>
          <w:p w14:paraId="26261782" w14:textId="77777777" w:rsidR="002D4F38" w:rsidRPr="00D36172" w:rsidRDefault="002D4F38" w:rsidP="002D4F38">
            <w:pPr>
              <w:rPr>
                <w:sz w:val="21"/>
                <w:szCs w:val="21"/>
              </w:rPr>
            </w:pPr>
            <w:r w:rsidRPr="00D36172">
              <w:rPr>
                <w:sz w:val="21"/>
                <w:szCs w:val="21"/>
              </w:rPr>
              <w:t>IRS requirement to prevent deferral of income tax</w:t>
            </w:r>
          </w:p>
        </w:tc>
        <w:tc>
          <w:tcPr>
            <w:tcW w:w="3209" w:type="dxa"/>
            <w:shd w:val="clear" w:color="auto" w:fill="FFFFFF" w:themeFill="background1"/>
          </w:tcPr>
          <w:p w14:paraId="1E60AE6C" w14:textId="77777777" w:rsidR="00D36172" w:rsidRPr="00D36172" w:rsidRDefault="00D36172" w:rsidP="002D4F38">
            <w:pPr>
              <w:rPr>
                <w:sz w:val="21"/>
                <w:szCs w:val="21"/>
              </w:rPr>
            </w:pPr>
            <w:r w:rsidRPr="00D36172">
              <w:rPr>
                <w:sz w:val="21"/>
                <w:szCs w:val="21"/>
              </w:rPr>
              <w:t>Please provide procedures in contract for consumer guidance in the event of owner’s death.</w:t>
            </w:r>
          </w:p>
          <w:p w14:paraId="7E101C31" w14:textId="77777777" w:rsidR="002D4F38" w:rsidRPr="00D36172" w:rsidRDefault="002D4F38" w:rsidP="002D4F38">
            <w:pPr>
              <w:rPr>
                <w:sz w:val="21"/>
                <w:szCs w:val="21"/>
              </w:rPr>
            </w:pPr>
            <w:r w:rsidRPr="00D36172">
              <w:rPr>
                <w:sz w:val="21"/>
                <w:szCs w:val="21"/>
              </w:rPr>
              <w:t>If death occurs after annuity commences, distribute remaining portion as rapidly as method in effect at time of death. If death occurs before commencement, must be distributed within 5 years, except if beneficiary annuitizes within 12 months to take interest over the length of life expectancy. If spouse becomes owner, these rules take effect on death of spouse. If owner is non-natural, rules apply on death of annuitant.</w:t>
            </w:r>
            <w:r w:rsidR="00D36172" w:rsidRPr="00D36172">
              <w:rPr>
                <w:sz w:val="21"/>
                <w:szCs w:val="21"/>
              </w:rPr>
              <w:t xml:space="preserve"> </w:t>
            </w:r>
          </w:p>
        </w:tc>
        <w:tc>
          <w:tcPr>
            <w:tcW w:w="1376" w:type="dxa"/>
            <w:shd w:val="clear" w:color="auto" w:fill="FFFFFF" w:themeFill="background1"/>
          </w:tcPr>
          <w:p w14:paraId="4B1679C6" w14:textId="77777777" w:rsidR="002D4F38" w:rsidRPr="00551932" w:rsidRDefault="002D4F38" w:rsidP="002D4F38">
            <w:pPr>
              <w:rPr>
                <w:sz w:val="21"/>
                <w:szCs w:val="21"/>
                <w:highlight w:val="yellow"/>
              </w:rPr>
            </w:pPr>
          </w:p>
        </w:tc>
      </w:tr>
      <w:tr w:rsidR="00B51FD0" w:rsidRPr="00A0019E" w14:paraId="11C8BCB8" w14:textId="77777777" w:rsidTr="004E37F5">
        <w:tc>
          <w:tcPr>
            <w:tcW w:w="1165" w:type="dxa"/>
            <w:shd w:val="clear" w:color="auto" w:fill="FFFFFF" w:themeFill="background1"/>
          </w:tcPr>
          <w:p w14:paraId="1F2EC864" w14:textId="77777777" w:rsidR="002D4F38" w:rsidRPr="00A0019E" w:rsidRDefault="002D4F38" w:rsidP="002D4F38">
            <w:pPr>
              <w:rPr>
                <w:sz w:val="21"/>
                <w:szCs w:val="21"/>
              </w:rPr>
            </w:pPr>
            <w:r w:rsidRPr="00A0019E">
              <w:rPr>
                <w:sz w:val="21"/>
                <w:szCs w:val="21"/>
              </w:rPr>
              <w:sym w:font="Wingdings" w:char="F06F"/>
            </w:r>
          </w:p>
        </w:tc>
        <w:tc>
          <w:tcPr>
            <w:tcW w:w="2086" w:type="dxa"/>
            <w:shd w:val="clear" w:color="auto" w:fill="FFFFFF" w:themeFill="background1"/>
          </w:tcPr>
          <w:p w14:paraId="60CA72C7" w14:textId="77777777" w:rsidR="002D4F38" w:rsidRPr="00941D7E" w:rsidRDefault="002D4F38" w:rsidP="002D4F38">
            <w:pPr>
              <w:rPr>
                <w:sz w:val="21"/>
                <w:szCs w:val="21"/>
              </w:rPr>
            </w:pPr>
            <w:r w:rsidRPr="00A0019E">
              <w:rPr>
                <w:sz w:val="21"/>
                <w:szCs w:val="21"/>
              </w:rPr>
              <w:t>Claims of creditors</w:t>
            </w:r>
          </w:p>
        </w:tc>
        <w:tc>
          <w:tcPr>
            <w:tcW w:w="1514" w:type="dxa"/>
            <w:shd w:val="clear" w:color="auto" w:fill="FFFFFF" w:themeFill="background1"/>
          </w:tcPr>
          <w:p w14:paraId="51A21CF3" w14:textId="77777777" w:rsidR="002D4F38" w:rsidRDefault="00DB645B" w:rsidP="002D4F38">
            <w:pPr>
              <w:rPr>
                <w:sz w:val="21"/>
                <w:szCs w:val="21"/>
              </w:rPr>
            </w:pPr>
            <w:hyperlink r:id="rId18" w:history="1">
              <w:r w:rsidR="002D4F38">
                <w:rPr>
                  <w:rStyle w:val="Hyperlink"/>
                  <w:sz w:val="21"/>
                  <w:szCs w:val="21"/>
                </w:rPr>
                <w:t>§44-371</w:t>
              </w:r>
            </w:hyperlink>
          </w:p>
        </w:tc>
        <w:tc>
          <w:tcPr>
            <w:tcW w:w="3209" w:type="dxa"/>
            <w:shd w:val="clear" w:color="auto" w:fill="FFFFFF" w:themeFill="background1"/>
          </w:tcPr>
          <w:p w14:paraId="533D7C41" w14:textId="77777777" w:rsidR="002D4F38" w:rsidRPr="00941D7E" w:rsidRDefault="00D36172" w:rsidP="002D4F38">
            <w:pPr>
              <w:rPr>
                <w:sz w:val="21"/>
                <w:szCs w:val="21"/>
              </w:rPr>
            </w:pPr>
            <w:r>
              <w:rPr>
                <w:sz w:val="21"/>
                <w:szCs w:val="21"/>
              </w:rPr>
              <w:t xml:space="preserve">Please include in contract to make policyholders aware of their rights.  </w:t>
            </w:r>
            <w:r w:rsidR="002D4F38" w:rsidRPr="00A0019E">
              <w:rPr>
                <w:rFonts w:cstheme="minorHAnsi"/>
                <w:sz w:val="21"/>
                <w:szCs w:val="21"/>
              </w:rPr>
              <w:t xml:space="preserve">All proceeds, cash values and </w:t>
            </w:r>
            <w:r w:rsidR="002D4F38" w:rsidRPr="00A0019E">
              <w:rPr>
                <w:rFonts w:cstheme="minorHAnsi"/>
                <w:sz w:val="21"/>
                <w:szCs w:val="21"/>
              </w:rPr>
              <w:lastRenderedPageBreak/>
              <w:t>benefits accruing under any annuity contract shall be exempt from attachment or garnishment and from all claims of creditors</w:t>
            </w:r>
          </w:p>
        </w:tc>
        <w:tc>
          <w:tcPr>
            <w:tcW w:w="1376" w:type="dxa"/>
            <w:shd w:val="clear" w:color="auto" w:fill="FFFFFF" w:themeFill="background1"/>
          </w:tcPr>
          <w:p w14:paraId="78D4AB9E" w14:textId="77777777" w:rsidR="002D4F38" w:rsidRPr="00551932" w:rsidRDefault="002D4F38" w:rsidP="002D4F38">
            <w:pPr>
              <w:rPr>
                <w:sz w:val="21"/>
                <w:szCs w:val="21"/>
                <w:highlight w:val="yellow"/>
              </w:rPr>
            </w:pPr>
          </w:p>
        </w:tc>
      </w:tr>
      <w:tr w:rsidR="00B51FD0" w:rsidRPr="00A0019E" w14:paraId="6FA0C122" w14:textId="77777777" w:rsidTr="004E37F5">
        <w:tc>
          <w:tcPr>
            <w:tcW w:w="1165" w:type="dxa"/>
          </w:tcPr>
          <w:p w14:paraId="5CFC9D1C" w14:textId="77777777" w:rsidR="002D4F38" w:rsidRPr="00A0019E" w:rsidRDefault="002D4F38" w:rsidP="002D4F38">
            <w:pPr>
              <w:rPr>
                <w:sz w:val="21"/>
                <w:szCs w:val="21"/>
              </w:rPr>
            </w:pPr>
            <w:r w:rsidRPr="00A0019E">
              <w:rPr>
                <w:sz w:val="21"/>
                <w:szCs w:val="21"/>
              </w:rPr>
              <w:sym w:font="Wingdings" w:char="F06F"/>
            </w:r>
          </w:p>
        </w:tc>
        <w:tc>
          <w:tcPr>
            <w:tcW w:w="2086" w:type="dxa"/>
          </w:tcPr>
          <w:p w14:paraId="622412D6" w14:textId="77777777" w:rsidR="002D4F38" w:rsidRDefault="002D4F38" w:rsidP="002D4F38">
            <w:pPr>
              <w:pStyle w:val="Default"/>
              <w:rPr>
                <w:sz w:val="21"/>
                <w:szCs w:val="21"/>
              </w:rPr>
            </w:pPr>
            <w:r>
              <w:rPr>
                <w:sz w:val="21"/>
                <w:szCs w:val="21"/>
              </w:rPr>
              <w:t>Interest Rates</w:t>
            </w:r>
          </w:p>
          <w:p w14:paraId="1CF38984" w14:textId="77777777" w:rsidR="002D4F38" w:rsidRDefault="002D4F38" w:rsidP="002D4F38">
            <w:pPr>
              <w:rPr>
                <w:sz w:val="21"/>
                <w:szCs w:val="21"/>
              </w:rPr>
            </w:pPr>
          </w:p>
        </w:tc>
        <w:tc>
          <w:tcPr>
            <w:tcW w:w="1514" w:type="dxa"/>
          </w:tcPr>
          <w:p w14:paraId="45EF4466" w14:textId="77777777" w:rsidR="002D4F38" w:rsidRDefault="002D4F38" w:rsidP="002D4F38">
            <w:pPr>
              <w:rPr>
                <w:rStyle w:val="Hyperlink"/>
                <w:sz w:val="21"/>
                <w:szCs w:val="21"/>
              </w:rPr>
            </w:pPr>
            <w:r w:rsidRPr="00A0019E">
              <w:rPr>
                <w:rStyle w:val="Hyperlink"/>
                <w:color w:val="auto"/>
                <w:sz w:val="21"/>
                <w:szCs w:val="21"/>
                <w:u w:val="none"/>
              </w:rPr>
              <w:t>NE Filing Requirement</w:t>
            </w:r>
          </w:p>
        </w:tc>
        <w:tc>
          <w:tcPr>
            <w:tcW w:w="3209" w:type="dxa"/>
          </w:tcPr>
          <w:p w14:paraId="071FE6C8" w14:textId="77777777" w:rsidR="002D4F38" w:rsidRDefault="002D4F38" w:rsidP="002D4F38">
            <w:pPr>
              <w:pStyle w:val="Default"/>
              <w:rPr>
                <w:sz w:val="21"/>
                <w:szCs w:val="21"/>
              </w:rPr>
            </w:pPr>
            <w:r>
              <w:rPr>
                <w:sz w:val="21"/>
                <w:szCs w:val="21"/>
              </w:rPr>
              <w:t>Interest rates can be filed as variable. All variable material needs to be bracketed, and in the supporting documentation, submit a statement of variability.</w:t>
            </w:r>
          </w:p>
          <w:p w14:paraId="6DE54572" w14:textId="77777777" w:rsidR="002D4F38" w:rsidRPr="005D0531" w:rsidRDefault="002D4F38" w:rsidP="002D4F38">
            <w:pPr>
              <w:autoSpaceDE w:val="0"/>
              <w:autoSpaceDN w:val="0"/>
              <w:adjustRightInd w:val="0"/>
              <w:rPr>
                <w:rFonts w:cstheme="minorHAnsi"/>
                <w:sz w:val="21"/>
                <w:szCs w:val="21"/>
              </w:rPr>
            </w:pPr>
            <w:r>
              <w:rPr>
                <w:sz w:val="21"/>
                <w:szCs w:val="21"/>
              </w:rPr>
              <w:t>Guaranteed interest on investments held in General Account.</w:t>
            </w:r>
          </w:p>
        </w:tc>
        <w:tc>
          <w:tcPr>
            <w:tcW w:w="1376" w:type="dxa"/>
          </w:tcPr>
          <w:p w14:paraId="0FA60880" w14:textId="77777777" w:rsidR="002D4F38" w:rsidRPr="00A0019E" w:rsidRDefault="002D4F38" w:rsidP="002D4F38">
            <w:pPr>
              <w:rPr>
                <w:sz w:val="21"/>
                <w:szCs w:val="21"/>
              </w:rPr>
            </w:pPr>
          </w:p>
        </w:tc>
      </w:tr>
      <w:tr w:rsidR="00B51FD0" w:rsidRPr="00A0019E" w14:paraId="1CEE7D3F" w14:textId="77777777" w:rsidTr="004E37F5">
        <w:tc>
          <w:tcPr>
            <w:tcW w:w="1165" w:type="dxa"/>
          </w:tcPr>
          <w:p w14:paraId="051E1CC2" w14:textId="77777777" w:rsidR="002D4F38" w:rsidRPr="00A0019E" w:rsidRDefault="002D4F38" w:rsidP="002D4F38">
            <w:pPr>
              <w:rPr>
                <w:sz w:val="21"/>
                <w:szCs w:val="21"/>
              </w:rPr>
            </w:pPr>
            <w:r w:rsidRPr="00A0019E">
              <w:rPr>
                <w:sz w:val="21"/>
                <w:szCs w:val="21"/>
              </w:rPr>
              <w:sym w:font="Wingdings" w:char="F06F"/>
            </w:r>
          </w:p>
        </w:tc>
        <w:tc>
          <w:tcPr>
            <w:tcW w:w="2086" w:type="dxa"/>
          </w:tcPr>
          <w:p w14:paraId="6F41E510" w14:textId="77777777" w:rsidR="002D4F38" w:rsidRPr="00A0019E" w:rsidRDefault="002D4F38" w:rsidP="002D4F38">
            <w:pPr>
              <w:rPr>
                <w:sz w:val="21"/>
                <w:szCs w:val="21"/>
              </w:rPr>
            </w:pPr>
            <w:r w:rsidRPr="00A0019E">
              <w:rPr>
                <w:sz w:val="21"/>
                <w:szCs w:val="21"/>
              </w:rPr>
              <w:t>Hold harmless</w:t>
            </w:r>
          </w:p>
        </w:tc>
        <w:tc>
          <w:tcPr>
            <w:tcW w:w="1514" w:type="dxa"/>
            <w:shd w:val="clear" w:color="auto" w:fill="FFFFFF" w:themeFill="background1"/>
          </w:tcPr>
          <w:p w14:paraId="4DFD858E" w14:textId="77777777" w:rsidR="002D4F38" w:rsidRPr="00A0019E" w:rsidRDefault="002D4F38" w:rsidP="002D4F38">
            <w:pPr>
              <w:rPr>
                <w:sz w:val="21"/>
                <w:szCs w:val="21"/>
              </w:rPr>
            </w:pPr>
            <w:r w:rsidRPr="00A0019E">
              <w:rPr>
                <w:sz w:val="21"/>
                <w:szCs w:val="21"/>
              </w:rPr>
              <w:t xml:space="preserve">General Fairness Requirement. </w:t>
            </w:r>
          </w:p>
          <w:p w14:paraId="11F98469" w14:textId="77777777" w:rsidR="002D4F38" w:rsidRPr="00A0019E" w:rsidRDefault="00DB645B" w:rsidP="002D4F38">
            <w:pPr>
              <w:rPr>
                <w:sz w:val="21"/>
                <w:szCs w:val="21"/>
              </w:rPr>
            </w:pPr>
            <w:hyperlink r:id="rId19" w:history="1">
              <w:r w:rsidR="002D4F38">
                <w:rPr>
                  <w:rStyle w:val="Hyperlink"/>
                  <w:sz w:val="21"/>
                  <w:szCs w:val="21"/>
                </w:rPr>
                <w:t>§44-511</w:t>
              </w:r>
            </w:hyperlink>
          </w:p>
        </w:tc>
        <w:tc>
          <w:tcPr>
            <w:tcW w:w="3209" w:type="dxa"/>
          </w:tcPr>
          <w:p w14:paraId="2C59723C" w14:textId="77777777" w:rsidR="002D4F38" w:rsidRPr="00A0019E" w:rsidRDefault="002D4F38" w:rsidP="002D4F38">
            <w:pPr>
              <w:rPr>
                <w:rFonts w:eastAsia="Times New Roman" w:cstheme="minorHAnsi"/>
                <w:sz w:val="21"/>
                <w:szCs w:val="21"/>
              </w:rPr>
            </w:pPr>
            <w:r w:rsidRPr="00A0019E">
              <w:rPr>
                <w:rFonts w:eastAsia="Times New Roman" w:cstheme="minorHAnsi"/>
                <w:sz w:val="21"/>
                <w:szCs w:val="21"/>
              </w:rPr>
              <w:t>Remove any “hold harmless” language from the application or policy when:</w:t>
            </w:r>
          </w:p>
          <w:p w14:paraId="7E802336" w14:textId="77777777" w:rsidR="002D4F38" w:rsidRPr="00A0019E" w:rsidRDefault="002D4F38" w:rsidP="002D4F38">
            <w:pPr>
              <w:rPr>
                <w:rFonts w:cstheme="minorHAnsi"/>
                <w:sz w:val="21"/>
                <w:szCs w:val="21"/>
              </w:rPr>
            </w:pPr>
            <w:r w:rsidRPr="00A0019E">
              <w:rPr>
                <w:rFonts w:eastAsia="Times New Roman" w:cstheme="minorHAnsi"/>
                <w:sz w:val="21"/>
                <w:szCs w:val="21"/>
              </w:rPr>
              <w:t xml:space="preserve">Form language states that the company or producers are held harmless for any losses or liabilities. We will object to hold harmless language </w:t>
            </w:r>
            <w:r w:rsidRPr="00A0019E">
              <w:rPr>
                <w:rFonts w:eastAsia="Times New Roman" w:cstheme="minorHAnsi"/>
                <w:sz w:val="21"/>
                <w:szCs w:val="21"/>
                <w:u w:val="single"/>
              </w:rPr>
              <w:t>if the insured person could be harmed in any way</w:t>
            </w:r>
            <w:r w:rsidRPr="00A0019E">
              <w:rPr>
                <w:rFonts w:eastAsia="Times New Roman" w:cstheme="minorHAnsi"/>
                <w:sz w:val="21"/>
                <w:szCs w:val="21"/>
              </w:rPr>
              <w:t xml:space="preserve">. </w:t>
            </w:r>
            <w:r w:rsidRPr="00A0019E">
              <w:rPr>
                <w:rFonts w:eastAsia="Times New Roman" w:cstheme="minorHAnsi"/>
                <w:color w:val="000000"/>
                <w:sz w:val="21"/>
                <w:szCs w:val="21"/>
                <w:u w:val="single"/>
              </w:rPr>
              <w:t>The company is responsible for its officers, employees and agents and cannot waive its liability</w:t>
            </w:r>
            <w:r w:rsidRPr="00A0019E">
              <w:rPr>
                <w:rFonts w:eastAsia="Times New Roman" w:cstheme="minorHAnsi"/>
                <w:color w:val="000000"/>
                <w:sz w:val="21"/>
                <w:szCs w:val="21"/>
              </w:rPr>
              <w:t>. There must be a means of recourse to provide a safety net for the consumer.</w:t>
            </w:r>
          </w:p>
        </w:tc>
        <w:tc>
          <w:tcPr>
            <w:tcW w:w="1376" w:type="dxa"/>
          </w:tcPr>
          <w:p w14:paraId="14D3D065" w14:textId="77777777" w:rsidR="002D4F38" w:rsidRPr="00A0019E" w:rsidRDefault="002D4F38" w:rsidP="002D4F38">
            <w:pPr>
              <w:rPr>
                <w:sz w:val="21"/>
                <w:szCs w:val="21"/>
              </w:rPr>
            </w:pPr>
          </w:p>
        </w:tc>
      </w:tr>
      <w:tr w:rsidR="00B51FD0" w:rsidRPr="00A0019E" w14:paraId="1F6C2205" w14:textId="77777777" w:rsidTr="004E37F5">
        <w:tc>
          <w:tcPr>
            <w:tcW w:w="1165" w:type="dxa"/>
          </w:tcPr>
          <w:p w14:paraId="0447A977" w14:textId="77777777" w:rsidR="002D4F38" w:rsidRPr="00A0019E" w:rsidRDefault="002D4F38" w:rsidP="002D4F38">
            <w:pPr>
              <w:rPr>
                <w:sz w:val="21"/>
                <w:szCs w:val="21"/>
              </w:rPr>
            </w:pPr>
            <w:r w:rsidRPr="00A0019E">
              <w:rPr>
                <w:sz w:val="21"/>
                <w:szCs w:val="21"/>
              </w:rPr>
              <w:sym w:font="Wingdings" w:char="F06F"/>
            </w:r>
          </w:p>
        </w:tc>
        <w:tc>
          <w:tcPr>
            <w:tcW w:w="2086" w:type="dxa"/>
          </w:tcPr>
          <w:p w14:paraId="4C3CE9F6" w14:textId="77777777" w:rsidR="002D4F38" w:rsidRPr="00A0019E" w:rsidRDefault="002D4F38" w:rsidP="002D4F38">
            <w:pPr>
              <w:rPr>
                <w:sz w:val="21"/>
                <w:szCs w:val="21"/>
              </w:rPr>
            </w:pPr>
            <w:r w:rsidRPr="00A0019E">
              <w:rPr>
                <w:sz w:val="21"/>
                <w:szCs w:val="21"/>
              </w:rPr>
              <w:t>No arbitration</w:t>
            </w:r>
          </w:p>
        </w:tc>
        <w:tc>
          <w:tcPr>
            <w:tcW w:w="1514" w:type="dxa"/>
          </w:tcPr>
          <w:p w14:paraId="57E850E4" w14:textId="77777777" w:rsidR="002D4F38" w:rsidRPr="00A0019E" w:rsidRDefault="00DB645B" w:rsidP="002D4F38">
            <w:pPr>
              <w:rPr>
                <w:rFonts w:cstheme="minorHAnsi"/>
                <w:sz w:val="21"/>
                <w:szCs w:val="21"/>
              </w:rPr>
            </w:pPr>
            <w:hyperlink r:id="rId20" w:history="1">
              <w:r w:rsidR="002D4F38">
                <w:rPr>
                  <w:rStyle w:val="Hyperlink"/>
                  <w:rFonts w:cstheme="minorHAnsi"/>
                  <w:sz w:val="21"/>
                  <w:szCs w:val="21"/>
                </w:rPr>
                <w:t>§25-2602.01</w:t>
              </w:r>
            </w:hyperlink>
          </w:p>
        </w:tc>
        <w:tc>
          <w:tcPr>
            <w:tcW w:w="3209" w:type="dxa"/>
          </w:tcPr>
          <w:p w14:paraId="06742275" w14:textId="77777777" w:rsidR="002D4F38" w:rsidRPr="00A0019E" w:rsidRDefault="002D4F38" w:rsidP="002D4F38">
            <w:pPr>
              <w:rPr>
                <w:sz w:val="21"/>
                <w:szCs w:val="21"/>
              </w:rPr>
            </w:pPr>
            <w:r w:rsidRPr="00A0019E">
              <w:rPr>
                <w:sz w:val="21"/>
                <w:szCs w:val="21"/>
              </w:rPr>
              <w:t>Nebraska does not allow arbitration in any insurance contracts.</w:t>
            </w:r>
          </w:p>
        </w:tc>
        <w:tc>
          <w:tcPr>
            <w:tcW w:w="1376" w:type="dxa"/>
          </w:tcPr>
          <w:p w14:paraId="305A9E00" w14:textId="77777777" w:rsidR="002D4F38" w:rsidRPr="00A0019E" w:rsidRDefault="002D4F38" w:rsidP="002D4F38">
            <w:pPr>
              <w:rPr>
                <w:sz w:val="21"/>
                <w:szCs w:val="21"/>
              </w:rPr>
            </w:pPr>
          </w:p>
        </w:tc>
      </w:tr>
      <w:tr w:rsidR="00B51FD0" w:rsidRPr="00A0019E" w14:paraId="55B436C4" w14:textId="77777777" w:rsidTr="004E37F5">
        <w:tc>
          <w:tcPr>
            <w:tcW w:w="1165" w:type="dxa"/>
          </w:tcPr>
          <w:p w14:paraId="1261E041" w14:textId="77777777" w:rsidR="002D4F38" w:rsidRPr="00A0019E" w:rsidRDefault="002D4F38" w:rsidP="002D4F38">
            <w:pPr>
              <w:rPr>
                <w:rFonts w:cstheme="minorHAnsi"/>
                <w:sz w:val="21"/>
                <w:szCs w:val="21"/>
              </w:rPr>
            </w:pPr>
            <w:r w:rsidRPr="00A0019E">
              <w:rPr>
                <w:sz w:val="21"/>
                <w:szCs w:val="21"/>
              </w:rPr>
              <w:sym w:font="Wingdings" w:char="F06F"/>
            </w:r>
          </w:p>
        </w:tc>
        <w:tc>
          <w:tcPr>
            <w:tcW w:w="2086" w:type="dxa"/>
          </w:tcPr>
          <w:p w14:paraId="4FE4C733" w14:textId="77777777" w:rsidR="002D4F38" w:rsidRPr="00A0019E" w:rsidRDefault="002D4F38" w:rsidP="002D4F38">
            <w:pPr>
              <w:rPr>
                <w:rFonts w:cstheme="minorHAnsi"/>
                <w:sz w:val="21"/>
                <w:szCs w:val="21"/>
              </w:rPr>
            </w:pPr>
            <w:r w:rsidRPr="00A0019E">
              <w:rPr>
                <w:rFonts w:cstheme="minorHAnsi"/>
                <w:sz w:val="21"/>
                <w:szCs w:val="21"/>
              </w:rPr>
              <w:t>Policy fees</w:t>
            </w:r>
          </w:p>
        </w:tc>
        <w:tc>
          <w:tcPr>
            <w:tcW w:w="1514" w:type="dxa"/>
          </w:tcPr>
          <w:p w14:paraId="16BAC21A" w14:textId="77777777" w:rsidR="002D4F38" w:rsidRPr="00A0019E" w:rsidRDefault="00DB645B" w:rsidP="002D4F38">
            <w:pPr>
              <w:rPr>
                <w:rFonts w:cstheme="minorHAnsi"/>
                <w:sz w:val="21"/>
                <w:szCs w:val="21"/>
              </w:rPr>
            </w:pPr>
            <w:hyperlink r:id="rId21" w:history="1">
              <w:r w:rsidR="002D4F38">
                <w:rPr>
                  <w:rStyle w:val="Hyperlink"/>
                  <w:rFonts w:cstheme="minorHAnsi"/>
                  <w:sz w:val="21"/>
                  <w:szCs w:val="21"/>
                </w:rPr>
                <w:t>§44-354</w:t>
              </w:r>
            </w:hyperlink>
          </w:p>
        </w:tc>
        <w:tc>
          <w:tcPr>
            <w:tcW w:w="3209" w:type="dxa"/>
          </w:tcPr>
          <w:p w14:paraId="15B5195E" w14:textId="77777777" w:rsidR="002D4F38" w:rsidRPr="00A0019E" w:rsidRDefault="002D4F38" w:rsidP="002D4F38">
            <w:pPr>
              <w:rPr>
                <w:sz w:val="21"/>
                <w:szCs w:val="21"/>
              </w:rPr>
            </w:pPr>
            <w:r w:rsidRPr="00A0019E">
              <w:rPr>
                <w:rFonts w:cstheme="minorHAnsi"/>
                <w:color w:val="333333"/>
                <w:sz w:val="21"/>
                <w:szCs w:val="21"/>
                <w:lang w:val="en"/>
              </w:rPr>
              <w:t xml:space="preserve">Disclose any withdrawal or surrender fess in the policy. Describe any free withdrawals.  Disclose any other charges or fees in the policy or data page. </w:t>
            </w:r>
          </w:p>
        </w:tc>
        <w:tc>
          <w:tcPr>
            <w:tcW w:w="1376" w:type="dxa"/>
          </w:tcPr>
          <w:p w14:paraId="5F9AEE48" w14:textId="77777777" w:rsidR="002D4F38" w:rsidRPr="00A0019E" w:rsidRDefault="002D4F38" w:rsidP="002D4F38">
            <w:pPr>
              <w:rPr>
                <w:sz w:val="21"/>
                <w:szCs w:val="21"/>
              </w:rPr>
            </w:pPr>
          </w:p>
        </w:tc>
      </w:tr>
      <w:tr w:rsidR="00B51FD0" w:rsidRPr="00A0019E" w14:paraId="37704DAA" w14:textId="77777777" w:rsidTr="004E37F5">
        <w:trPr>
          <w:trHeight w:val="683"/>
        </w:trPr>
        <w:tc>
          <w:tcPr>
            <w:tcW w:w="1165" w:type="dxa"/>
          </w:tcPr>
          <w:p w14:paraId="7DA5EBA5" w14:textId="77777777" w:rsidR="002D4F38" w:rsidRPr="00A0019E" w:rsidRDefault="002D4F38" w:rsidP="002D4F38">
            <w:pPr>
              <w:rPr>
                <w:sz w:val="21"/>
                <w:szCs w:val="21"/>
              </w:rPr>
            </w:pPr>
            <w:r w:rsidRPr="00A0019E">
              <w:rPr>
                <w:sz w:val="21"/>
                <w:szCs w:val="21"/>
              </w:rPr>
              <w:sym w:font="Wingdings" w:char="F06F"/>
            </w:r>
          </w:p>
        </w:tc>
        <w:tc>
          <w:tcPr>
            <w:tcW w:w="2086" w:type="dxa"/>
          </w:tcPr>
          <w:p w14:paraId="614E0F1A" w14:textId="77777777" w:rsidR="002D4F38" w:rsidRPr="00A0019E" w:rsidRDefault="002D4F38" w:rsidP="002D4F38">
            <w:pPr>
              <w:rPr>
                <w:sz w:val="21"/>
                <w:szCs w:val="21"/>
              </w:rPr>
            </w:pPr>
            <w:r>
              <w:rPr>
                <w:sz w:val="21"/>
                <w:szCs w:val="21"/>
              </w:rPr>
              <w:t>Advertisements</w:t>
            </w:r>
          </w:p>
        </w:tc>
        <w:tc>
          <w:tcPr>
            <w:tcW w:w="1514" w:type="dxa"/>
          </w:tcPr>
          <w:p w14:paraId="0AA64385" w14:textId="77777777" w:rsidR="002D4F38" w:rsidRDefault="00DB645B" w:rsidP="002D4F38">
            <w:pPr>
              <w:rPr>
                <w:rStyle w:val="Hyperlink"/>
                <w:rFonts w:cs="Arial"/>
                <w:sz w:val="21"/>
                <w:szCs w:val="21"/>
              </w:rPr>
            </w:pPr>
            <w:hyperlink r:id="rId22" w:history="1">
              <w:r w:rsidR="002D4F38">
                <w:rPr>
                  <w:rStyle w:val="Hyperlink"/>
                  <w:rFonts w:cs="Arial"/>
                  <w:sz w:val="21"/>
                  <w:szCs w:val="21"/>
                </w:rPr>
                <w:t>210 NAC Ch. 50</w:t>
              </w:r>
            </w:hyperlink>
          </w:p>
        </w:tc>
        <w:tc>
          <w:tcPr>
            <w:tcW w:w="3209" w:type="dxa"/>
          </w:tcPr>
          <w:p w14:paraId="27790E73" w14:textId="77777777" w:rsidR="002D4F38" w:rsidRPr="00A0019E" w:rsidRDefault="002D4F38" w:rsidP="002D4F38">
            <w:pPr>
              <w:rPr>
                <w:rFonts w:cstheme="minorHAnsi"/>
                <w:sz w:val="21"/>
                <w:szCs w:val="21"/>
              </w:rPr>
            </w:pPr>
            <w:r>
              <w:rPr>
                <w:rFonts w:cstheme="minorHAnsi"/>
                <w:sz w:val="21"/>
                <w:szCs w:val="21"/>
              </w:rPr>
              <w:t>Please note that g</w:t>
            </w:r>
            <w:r w:rsidRPr="00193ECD">
              <w:rPr>
                <w:rFonts w:cstheme="minorHAnsi"/>
                <w:sz w:val="21"/>
                <w:szCs w:val="21"/>
                <w:u w:val="single"/>
              </w:rPr>
              <w:t xml:space="preserve">roup annuity advertising is not </w:t>
            </w:r>
            <w:r>
              <w:rPr>
                <w:rFonts w:cstheme="minorHAnsi"/>
                <w:sz w:val="21"/>
                <w:szCs w:val="21"/>
                <w:u w:val="single"/>
              </w:rPr>
              <w:t xml:space="preserve">required to be </w:t>
            </w:r>
            <w:r w:rsidRPr="00193ECD">
              <w:rPr>
                <w:rFonts w:cstheme="minorHAnsi"/>
                <w:sz w:val="21"/>
                <w:szCs w:val="21"/>
                <w:u w:val="single"/>
              </w:rPr>
              <w:t>filed with the Department</w:t>
            </w:r>
            <w:r w:rsidRPr="002D4F38">
              <w:rPr>
                <w:rFonts w:cstheme="minorHAnsi"/>
                <w:sz w:val="21"/>
                <w:szCs w:val="21"/>
              </w:rPr>
              <w:t xml:space="preserve">, </w:t>
            </w:r>
            <w:r>
              <w:rPr>
                <w:rFonts w:cstheme="minorHAnsi"/>
                <w:sz w:val="21"/>
                <w:szCs w:val="21"/>
              </w:rPr>
              <w:t xml:space="preserve">however, </w:t>
            </w:r>
            <w:r w:rsidRPr="00CF4E4A">
              <w:rPr>
                <w:rFonts w:cstheme="minorHAnsi"/>
                <w:sz w:val="21"/>
                <w:szCs w:val="21"/>
              </w:rPr>
              <w:t>advertising must comply with all Nebraska laws and regulations.</w:t>
            </w:r>
            <w:r w:rsidR="00D36172" w:rsidRPr="00CF4E4A">
              <w:rPr>
                <w:rFonts w:cstheme="minorHAnsi"/>
                <w:sz w:val="21"/>
                <w:szCs w:val="21"/>
              </w:rPr>
              <w:t xml:space="preserve"> Advertisements may not be misleading and must be truthful, complete and clear.   </w:t>
            </w:r>
          </w:p>
        </w:tc>
        <w:tc>
          <w:tcPr>
            <w:tcW w:w="1376" w:type="dxa"/>
          </w:tcPr>
          <w:p w14:paraId="6A2C100A" w14:textId="77777777" w:rsidR="002D4F38" w:rsidRPr="00A0019E" w:rsidRDefault="002D4F38" w:rsidP="002D4F38">
            <w:pPr>
              <w:rPr>
                <w:sz w:val="21"/>
                <w:szCs w:val="21"/>
              </w:rPr>
            </w:pPr>
          </w:p>
        </w:tc>
      </w:tr>
      <w:tr w:rsidR="002D4F38" w:rsidRPr="00A0019E" w14:paraId="48AC30B5" w14:textId="77777777" w:rsidTr="00283435">
        <w:trPr>
          <w:trHeight w:val="683"/>
        </w:trPr>
        <w:tc>
          <w:tcPr>
            <w:tcW w:w="1165" w:type="dxa"/>
            <w:shd w:val="clear" w:color="auto" w:fill="E7E6E6" w:themeFill="background2"/>
          </w:tcPr>
          <w:p w14:paraId="6A603A2A" w14:textId="77777777" w:rsidR="002D4F38" w:rsidRPr="00A0019E" w:rsidRDefault="002D4F38" w:rsidP="002D4F38">
            <w:pPr>
              <w:rPr>
                <w:sz w:val="21"/>
                <w:szCs w:val="21"/>
              </w:rPr>
            </w:pPr>
          </w:p>
        </w:tc>
        <w:tc>
          <w:tcPr>
            <w:tcW w:w="8185" w:type="dxa"/>
            <w:gridSpan w:val="4"/>
            <w:shd w:val="clear" w:color="auto" w:fill="E7E6E6" w:themeFill="background2"/>
          </w:tcPr>
          <w:p w14:paraId="08A43B12" w14:textId="2834A399" w:rsidR="002D4F38" w:rsidRDefault="002D4F38" w:rsidP="002D4F38">
            <w:pPr>
              <w:rPr>
                <w:b/>
                <w:sz w:val="21"/>
                <w:szCs w:val="21"/>
              </w:rPr>
            </w:pPr>
            <w:r>
              <w:rPr>
                <w:b/>
                <w:sz w:val="21"/>
                <w:szCs w:val="21"/>
              </w:rPr>
              <w:t>PROVISIONS SPECIFIC TO GUARANTEED INVESTMENT CONTRACTS</w:t>
            </w:r>
          </w:p>
          <w:p w14:paraId="1F7AE4E7" w14:textId="77777777" w:rsidR="002D4F38" w:rsidRPr="002D4F38" w:rsidRDefault="002D4F38" w:rsidP="002D4F38">
            <w:pPr>
              <w:rPr>
                <w:i/>
                <w:sz w:val="21"/>
                <w:szCs w:val="21"/>
              </w:rPr>
            </w:pPr>
            <w:r w:rsidRPr="002D4F38">
              <w:rPr>
                <w:i/>
                <w:sz w:val="21"/>
                <w:szCs w:val="21"/>
              </w:rPr>
              <w:t>(If not described earlier in this checklist)</w:t>
            </w:r>
          </w:p>
        </w:tc>
      </w:tr>
      <w:tr w:rsidR="00B51FD0" w:rsidRPr="00A0019E" w14:paraId="155B48F4" w14:textId="77777777" w:rsidTr="004E37F5">
        <w:trPr>
          <w:trHeight w:val="683"/>
        </w:trPr>
        <w:tc>
          <w:tcPr>
            <w:tcW w:w="1165" w:type="dxa"/>
            <w:shd w:val="clear" w:color="auto" w:fill="E7E6E6" w:themeFill="background2"/>
          </w:tcPr>
          <w:p w14:paraId="10D571D7" w14:textId="77777777" w:rsidR="002D4F38" w:rsidRPr="00A0019E" w:rsidRDefault="002D4F38" w:rsidP="002D4F38">
            <w:pPr>
              <w:rPr>
                <w:b/>
                <w:sz w:val="21"/>
                <w:szCs w:val="21"/>
              </w:rPr>
            </w:pPr>
            <w:r w:rsidRPr="00A0019E">
              <w:rPr>
                <w:b/>
                <w:sz w:val="21"/>
                <w:szCs w:val="21"/>
              </w:rPr>
              <w:t>(DOI reviewer)</w:t>
            </w:r>
          </w:p>
          <w:p w14:paraId="677CEFAA" w14:textId="77777777" w:rsidR="002D4F38" w:rsidRPr="00A0019E" w:rsidRDefault="002D4F38" w:rsidP="002D4F38">
            <w:pPr>
              <w:rPr>
                <w:sz w:val="21"/>
                <w:szCs w:val="21"/>
              </w:rPr>
            </w:pPr>
            <w:r w:rsidRPr="00A0019E">
              <w:rPr>
                <w:b/>
                <w:sz w:val="21"/>
                <w:szCs w:val="21"/>
              </w:rPr>
              <w:lastRenderedPageBreak/>
              <w:t>Check as completed</w:t>
            </w:r>
          </w:p>
        </w:tc>
        <w:tc>
          <w:tcPr>
            <w:tcW w:w="2086" w:type="dxa"/>
            <w:shd w:val="clear" w:color="auto" w:fill="E7E6E6" w:themeFill="background2"/>
          </w:tcPr>
          <w:p w14:paraId="3F032D31" w14:textId="77777777" w:rsidR="002D4F38" w:rsidRPr="001A37E5" w:rsidRDefault="002D4F38" w:rsidP="002D4F38">
            <w:pPr>
              <w:rPr>
                <w:sz w:val="21"/>
                <w:szCs w:val="21"/>
              </w:rPr>
            </w:pPr>
            <w:r w:rsidRPr="00A0019E">
              <w:rPr>
                <w:b/>
                <w:sz w:val="21"/>
                <w:szCs w:val="21"/>
              </w:rPr>
              <w:lastRenderedPageBreak/>
              <w:t>Review Requirements</w:t>
            </w:r>
          </w:p>
        </w:tc>
        <w:tc>
          <w:tcPr>
            <w:tcW w:w="1514" w:type="dxa"/>
            <w:shd w:val="clear" w:color="auto" w:fill="E7E6E6" w:themeFill="background2"/>
          </w:tcPr>
          <w:p w14:paraId="77E981DF" w14:textId="77777777" w:rsidR="002D4F38" w:rsidRPr="00BB1F41" w:rsidRDefault="002D4F38" w:rsidP="002D4F38">
            <w:pPr>
              <w:rPr>
                <w:sz w:val="21"/>
                <w:szCs w:val="21"/>
                <w:highlight w:val="yellow"/>
              </w:rPr>
            </w:pPr>
            <w:r w:rsidRPr="00A0019E">
              <w:rPr>
                <w:b/>
                <w:sz w:val="21"/>
                <w:szCs w:val="21"/>
              </w:rPr>
              <w:t>Reference</w:t>
            </w:r>
          </w:p>
        </w:tc>
        <w:tc>
          <w:tcPr>
            <w:tcW w:w="3209" w:type="dxa"/>
            <w:shd w:val="clear" w:color="auto" w:fill="E7E6E6" w:themeFill="background2"/>
          </w:tcPr>
          <w:p w14:paraId="54283661" w14:textId="77777777" w:rsidR="002D4F38" w:rsidRPr="001A37E5" w:rsidRDefault="002D4F38" w:rsidP="002D4F38">
            <w:pPr>
              <w:rPr>
                <w:sz w:val="21"/>
                <w:szCs w:val="21"/>
              </w:rPr>
            </w:pPr>
            <w:r w:rsidRPr="00A0019E">
              <w:rPr>
                <w:b/>
                <w:sz w:val="21"/>
                <w:szCs w:val="21"/>
              </w:rPr>
              <w:t>Description</w:t>
            </w:r>
          </w:p>
        </w:tc>
        <w:tc>
          <w:tcPr>
            <w:tcW w:w="1376" w:type="dxa"/>
            <w:shd w:val="clear" w:color="auto" w:fill="E7E6E6" w:themeFill="background2"/>
          </w:tcPr>
          <w:p w14:paraId="25BB1682" w14:textId="77777777" w:rsidR="002D4F38" w:rsidRPr="00A0019E" w:rsidRDefault="002D4F38" w:rsidP="002D4F38">
            <w:pPr>
              <w:rPr>
                <w:sz w:val="21"/>
                <w:szCs w:val="21"/>
              </w:rPr>
            </w:pPr>
            <w:r w:rsidRPr="00A0019E">
              <w:rPr>
                <w:b/>
                <w:sz w:val="21"/>
                <w:szCs w:val="21"/>
              </w:rPr>
              <w:t xml:space="preserve">Page number, form name </w:t>
            </w:r>
            <w:r w:rsidRPr="00A0019E">
              <w:rPr>
                <w:b/>
                <w:sz w:val="21"/>
                <w:szCs w:val="21"/>
              </w:rPr>
              <w:lastRenderedPageBreak/>
              <w:t>&amp; number if separate document, or N/A</w:t>
            </w:r>
          </w:p>
        </w:tc>
      </w:tr>
      <w:tr w:rsidR="00B51FD0" w:rsidRPr="00A0019E" w14:paraId="017C2B6A" w14:textId="77777777" w:rsidTr="004E37F5">
        <w:trPr>
          <w:trHeight w:val="683"/>
        </w:trPr>
        <w:tc>
          <w:tcPr>
            <w:tcW w:w="1165" w:type="dxa"/>
          </w:tcPr>
          <w:p w14:paraId="6A0A764E" w14:textId="77777777" w:rsidR="00D36172" w:rsidRPr="00A0019E" w:rsidRDefault="00D36172" w:rsidP="00D36172">
            <w:pPr>
              <w:rPr>
                <w:sz w:val="21"/>
                <w:szCs w:val="21"/>
              </w:rPr>
            </w:pPr>
            <w:r w:rsidRPr="00A0019E">
              <w:rPr>
                <w:sz w:val="21"/>
                <w:szCs w:val="21"/>
              </w:rPr>
              <w:lastRenderedPageBreak/>
              <w:sym w:font="Wingdings" w:char="F06F"/>
            </w:r>
          </w:p>
        </w:tc>
        <w:tc>
          <w:tcPr>
            <w:tcW w:w="2086" w:type="dxa"/>
          </w:tcPr>
          <w:p w14:paraId="2E697AFC" w14:textId="77777777" w:rsidR="00D36172" w:rsidRDefault="00D36172" w:rsidP="00D36172">
            <w:pPr>
              <w:pStyle w:val="Default"/>
              <w:rPr>
                <w:sz w:val="21"/>
                <w:szCs w:val="21"/>
              </w:rPr>
            </w:pPr>
            <w:r>
              <w:rPr>
                <w:sz w:val="21"/>
                <w:szCs w:val="21"/>
              </w:rPr>
              <w:t>Plan of Operations filed and approved</w:t>
            </w:r>
          </w:p>
          <w:p w14:paraId="1F9FD790" w14:textId="77777777" w:rsidR="00D36172" w:rsidRPr="001A37E5" w:rsidRDefault="00D36172" w:rsidP="00D36172">
            <w:pPr>
              <w:rPr>
                <w:sz w:val="21"/>
                <w:szCs w:val="21"/>
              </w:rPr>
            </w:pPr>
          </w:p>
        </w:tc>
        <w:tc>
          <w:tcPr>
            <w:tcW w:w="1514" w:type="dxa"/>
          </w:tcPr>
          <w:p w14:paraId="521D63C3" w14:textId="61772FD2" w:rsidR="00D36172" w:rsidRPr="00BB1F41" w:rsidRDefault="00C72A59" w:rsidP="00D36172">
            <w:pPr>
              <w:rPr>
                <w:sz w:val="21"/>
                <w:szCs w:val="21"/>
                <w:highlight w:val="yellow"/>
              </w:rPr>
            </w:pPr>
            <w:r w:rsidRPr="00620DF9">
              <w:rPr>
                <w:sz w:val="21"/>
                <w:szCs w:val="21"/>
              </w:rPr>
              <w:t>NAIC Model 200</w:t>
            </w:r>
            <w:r>
              <w:rPr>
                <w:sz w:val="21"/>
                <w:szCs w:val="21"/>
              </w:rPr>
              <w:t xml:space="preserve"> § 5</w:t>
            </w:r>
          </w:p>
        </w:tc>
        <w:tc>
          <w:tcPr>
            <w:tcW w:w="3209" w:type="dxa"/>
          </w:tcPr>
          <w:p w14:paraId="411FA00E" w14:textId="77777777" w:rsidR="00D36172" w:rsidRPr="005A2B43" w:rsidRDefault="00546785" w:rsidP="00D41809">
            <w:pPr>
              <w:pStyle w:val="Default"/>
              <w:rPr>
                <w:sz w:val="21"/>
                <w:szCs w:val="21"/>
              </w:rPr>
            </w:pPr>
            <w:r w:rsidRPr="005A2B43">
              <w:rPr>
                <w:sz w:val="21"/>
                <w:szCs w:val="21"/>
              </w:rPr>
              <w:t>A contract may not be delivered or issued for delivery in this state unless the issuing insurance company is licensed as a life insurance company in this state.</w:t>
            </w:r>
            <w:r w:rsidR="00DA4903" w:rsidRPr="005A2B43">
              <w:rPr>
                <w:sz w:val="21"/>
                <w:szCs w:val="21"/>
              </w:rPr>
              <w:t xml:space="preserve"> If previously filed, please indicate the SERFF tracking number in which it was approved under. </w:t>
            </w:r>
          </w:p>
        </w:tc>
        <w:tc>
          <w:tcPr>
            <w:tcW w:w="1376" w:type="dxa"/>
          </w:tcPr>
          <w:p w14:paraId="754C0C2E" w14:textId="77777777" w:rsidR="00D36172" w:rsidRPr="00A0019E" w:rsidRDefault="00D36172" w:rsidP="00D36172">
            <w:pPr>
              <w:rPr>
                <w:sz w:val="21"/>
                <w:szCs w:val="21"/>
              </w:rPr>
            </w:pPr>
          </w:p>
        </w:tc>
      </w:tr>
      <w:tr w:rsidR="00F261CF" w:rsidRPr="00A0019E" w14:paraId="064212E7" w14:textId="77777777" w:rsidTr="004E37F5">
        <w:trPr>
          <w:trHeight w:val="683"/>
        </w:trPr>
        <w:tc>
          <w:tcPr>
            <w:tcW w:w="1165" w:type="dxa"/>
          </w:tcPr>
          <w:p w14:paraId="0FC3415C" w14:textId="77777777" w:rsidR="00F261CF" w:rsidRPr="00A0019E" w:rsidDel="00F261CF" w:rsidRDefault="00F261CF" w:rsidP="00F261CF">
            <w:pPr>
              <w:rPr>
                <w:sz w:val="21"/>
                <w:szCs w:val="21"/>
              </w:rPr>
            </w:pPr>
            <w:r w:rsidRPr="00A0019E">
              <w:rPr>
                <w:sz w:val="21"/>
                <w:szCs w:val="21"/>
              </w:rPr>
              <w:sym w:font="Wingdings" w:char="F06F"/>
            </w:r>
          </w:p>
        </w:tc>
        <w:tc>
          <w:tcPr>
            <w:tcW w:w="2086" w:type="dxa"/>
          </w:tcPr>
          <w:p w14:paraId="50AF2F1A" w14:textId="77777777" w:rsidR="00F261CF" w:rsidRPr="00535A89" w:rsidDel="00F261CF" w:rsidRDefault="00F261CF" w:rsidP="00F261CF">
            <w:pPr>
              <w:rPr>
                <w:sz w:val="21"/>
                <w:szCs w:val="21"/>
              </w:rPr>
            </w:pPr>
            <w:r>
              <w:rPr>
                <w:sz w:val="21"/>
                <w:szCs w:val="21"/>
              </w:rPr>
              <w:t>Description of contractual safeguards</w:t>
            </w:r>
          </w:p>
        </w:tc>
        <w:tc>
          <w:tcPr>
            <w:tcW w:w="1514" w:type="dxa"/>
          </w:tcPr>
          <w:p w14:paraId="6BAED9A0" w14:textId="77777777" w:rsidR="00F261CF" w:rsidDel="00F261CF" w:rsidRDefault="00F261CF" w:rsidP="00F261CF">
            <w:r>
              <w:t>NAIC Model 200 § 6A(1)</w:t>
            </w:r>
          </w:p>
        </w:tc>
        <w:tc>
          <w:tcPr>
            <w:tcW w:w="3209" w:type="dxa"/>
          </w:tcPr>
          <w:p w14:paraId="2DDFBF85" w14:textId="77777777" w:rsidR="00F261CF" w:rsidRPr="00D02CC8" w:rsidDel="00F261CF" w:rsidRDefault="00F261CF" w:rsidP="00F261CF">
            <w:pPr>
              <w:rPr>
                <w:sz w:val="21"/>
                <w:szCs w:val="21"/>
              </w:rPr>
            </w:pPr>
            <w:r>
              <w:rPr>
                <w:sz w:val="21"/>
                <w:szCs w:val="21"/>
              </w:rPr>
              <w:t>A description of any contractual safeguards to assure asset sufficiency, including termination events, discontinuance triggers or discontinuance options and corrective action procedures.</w:t>
            </w:r>
          </w:p>
        </w:tc>
        <w:tc>
          <w:tcPr>
            <w:tcW w:w="1376" w:type="dxa"/>
          </w:tcPr>
          <w:p w14:paraId="7BC31679" w14:textId="77777777" w:rsidR="00F261CF" w:rsidRPr="00A0019E" w:rsidRDefault="00F261CF" w:rsidP="00F261CF">
            <w:pPr>
              <w:rPr>
                <w:sz w:val="21"/>
                <w:szCs w:val="21"/>
              </w:rPr>
            </w:pPr>
          </w:p>
        </w:tc>
      </w:tr>
      <w:tr w:rsidR="00F261CF" w:rsidRPr="00A0019E" w14:paraId="5B2A26B9" w14:textId="77777777" w:rsidTr="004E37F5">
        <w:trPr>
          <w:trHeight w:val="683"/>
        </w:trPr>
        <w:tc>
          <w:tcPr>
            <w:tcW w:w="1165" w:type="dxa"/>
          </w:tcPr>
          <w:p w14:paraId="2FDBCD9C" w14:textId="77777777" w:rsidR="00F261CF" w:rsidRPr="00A0019E" w:rsidDel="00F261CF" w:rsidRDefault="00F261CF" w:rsidP="00F261CF">
            <w:pPr>
              <w:rPr>
                <w:sz w:val="21"/>
                <w:szCs w:val="21"/>
              </w:rPr>
            </w:pPr>
            <w:r w:rsidRPr="00A0019E">
              <w:rPr>
                <w:sz w:val="21"/>
                <w:szCs w:val="21"/>
              </w:rPr>
              <w:sym w:font="Wingdings" w:char="F06F"/>
            </w:r>
          </w:p>
        </w:tc>
        <w:tc>
          <w:tcPr>
            <w:tcW w:w="2086" w:type="dxa"/>
          </w:tcPr>
          <w:p w14:paraId="1E6B9B29" w14:textId="77777777" w:rsidR="00F261CF" w:rsidRPr="00535A89" w:rsidDel="00F261CF" w:rsidRDefault="00F261CF" w:rsidP="00F261CF">
            <w:pPr>
              <w:rPr>
                <w:sz w:val="21"/>
                <w:szCs w:val="21"/>
              </w:rPr>
            </w:pPr>
            <w:r>
              <w:rPr>
                <w:sz w:val="21"/>
                <w:szCs w:val="21"/>
              </w:rPr>
              <w:t>Description of charges</w:t>
            </w:r>
          </w:p>
        </w:tc>
        <w:tc>
          <w:tcPr>
            <w:tcW w:w="1514" w:type="dxa"/>
          </w:tcPr>
          <w:p w14:paraId="212C444B" w14:textId="77777777" w:rsidR="00F261CF" w:rsidDel="00F261CF" w:rsidRDefault="00F261CF" w:rsidP="00F261CF">
            <w:r>
              <w:t>NAIC Model 200 § 6A(2)</w:t>
            </w:r>
          </w:p>
        </w:tc>
        <w:tc>
          <w:tcPr>
            <w:tcW w:w="3209" w:type="dxa"/>
          </w:tcPr>
          <w:p w14:paraId="3A44C744" w14:textId="77777777" w:rsidR="00F261CF" w:rsidRPr="00D02CC8" w:rsidDel="00F261CF" w:rsidRDefault="00F261CF" w:rsidP="00F261CF">
            <w:pPr>
              <w:rPr>
                <w:sz w:val="21"/>
                <w:szCs w:val="21"/>
              </w:rPr>
            </w:pPr>
            <w:r>
              <w:rPr>
                <w:sz w:val="21"/>
                <w:szCs w:val="21"/>
              </w:rPr>
              <w:t>A description of how any charges under the contract are computed, including, but not limited to, any risk or surrender charge.</w:t>
            </w:r>
          </w:p>
        </w:tc>
        <w:tc>
          <w:tcPr>
            <w:tcW w:w="1376" w:type="dxa"/>
          </w:tcPr>
          <w:p w14:paraId="7B9D4342" w14:textId="77777777" w:rsidR="00F261CF" w:rsidRPr="00A0019E" w:rsidRDefault="00F261CF" w:rsidP="00F261CF">
            <w:pPr>
              <w:rPr>
                <w:sz w:val="21"/>
                <w:szCs w:val="21"/>
              </w:rPr>
            </w:pPr>
          </w:p>
        </w:tc>
      </w:tr>
      <w:tr w:rsidR="00F261CF" w:rsidRPr="00A0019E" w14:paraId="20326BCB" w14:textId="77777777" w:rsidTr="004E37F5">
        <w:trPr>
          <w:trHeight w:val="683"/>
        </w:trPr>
        <w:tc>
          <w:tcPr>
            <w:tcW w:w="1165" w:type="dxa"/>
          </w:tcPr>
          <w:p w14:paraId="7B1C68D6" w14:textId="77777777" w:rsidR="00F261CF" w:rsidRPr="00A0019E" w:rsidDel="00F261CF" w:rsidRDefault="00F261CF" w:rsidP="00F261CF">
            <w:pPr>
              <w:rPr>
                <w:sz w:val="21"/>
                <w:szCs w:val="21"/>
              </w:rPr>
            </w:pPr>
            <w:r w:rsidRPr="00A0019E">
              <w:rPr>
                <w:sz w:val="21"/>
                <w:szCs w:val="21"/>
              </w:rPr>
              <w:sym w:font="Wingdings" w:char="F06F"/>
            </w:r>
          </w:p>
        </w:tc>
        <w:tc>
          <w:tcPr>
            <w:tcW w:w="2086" w:type="dxa"/>
          </w:tcPr>
          <w:p w14:paraId="0BEECD96" w14:textId="77777777" w:rsidR="00F261CF" w:rsidRPr="00535A89" w:rsidDel="00F261CF" w:rsidRDefault="00F261CF" w:rsidP="00F261CF">
            <w:pPr>
              <w:rPr>
                <w:sz w:val="21"/>
                <w:szCs w:val="21"/>
              </w:rPr>
            </w:pPr>
            <w:r>
              <w:rPr>
                <w:sz w:val="21"/>
                <w:szCs w:val="21"/>
              </w:rPr>
              <w:t>Market value adjustment computations</w:t>
            </w:r>
          </w:p>
        </w:tc>
        <w:tc>
          <w:tcPr>
            <w:tcW w:w="1514" w:type="dxa"/>
          </w:tcPr>
          <w:p w14:paraId="6351A013" w14:textId="77777777" w:rsidR="00F261CF" w:rsidDel="00F261CF" w:rsidRDefault="00F261CF" w:rsidP="00F261CF">
            <w:r>
              <w:t>NAIC Model 200 § 6A(3)</w:t>
            </w:r>
          </w:p>
        </w:tc>
        <w:tc>
          <w:tcPr>
            <w:tcW w:w="3209" w:type="dxa"/>
          </w:tcPr>
          <w:p w14:paraId="4D76D5AA" w14:textId="77777777" w:rsidR="00F261CF" w:rsidRPr="00D02CC8" w:rsidDel="00F261CF" w:rsidRDefault="00F261CF" w:rsidP="00F261CF">
            <w:pPr>
              <w:rPr>
                <w:sz w:val="21"/>
                <w:szCs w:val="21"/>
              </w:rPr>
            </w:pPr>
            <w:r>
              <w:rPr>
                <w:sz w:val="21"/>
                <w:szCs w:val="21"/>
              </w:rPr>
              <w:t>For a book value contract, a description of how any market value adjustments under the contract are computed.</w:t>
            </w:r>
          </w:p>
        </w:tc>
        <w:tc>
          <w:tcPr>
            <w:tcW w:w="1376" w:type="dxa"/>
          </w:tcPr>
          <w:p w14:paraId="62EFAFA6" w14:textId="77777777" w:rsidR="00F261CF" w:rsidRPr="00A0019E" w:rsidRDefault="00F261CF" w:rsidP="00F261CF">
            <w:pPr>
              <w:rPr>
                <w:sz w:val="21"/>
                <w:szCs w:val="21"/>
              </w:rPr>
            </w:pPr>
          </w:p>
        </w:tc>
      </w:tr>
      <w:tr w:rsidR="00B51FD0" w:rsidRPr="00A0019E" w14:paraId="4D82779A" w14:textId="77777777" w:rsidTr="004E37F5">
        <w:trPr>
          <w:trHeight w:val="683"/>
        </w:trPr>
        <w:tc>
          <w:tcPr>
            <w:tcW w:w="1165" w:type="dxa"/>
          </w:tcPr>
          <w:p w14:paraId="1604BDD8" w14:textId="77777777" w:rsidR="00F261CF" w:rsidRPr="00A0019E" w:rsidRDefault="00F261CF" w:rsidP="00F261CF">
            <w:pPr>
              <w:rPr>
                <w:sz w:val="21"/>
                <w:szCs w:val="21"/>
              </w:rPr>
            </w:pPr>
            <w:r w:rsidRPr="00A0019E">
              <w:rPr>
                <w:sz w:val="21"/>
                <w:szCs w:val="21"/>
              </w:rPr>
              <w:sym w:font="Wingdings" w:char="F06F"/>
            </w:r>
          </w:p>
        </w:tc>
        <w:tc>
          <w:tcPr>
            <w:tcW w:w="2086" w:type="dxa"/>
          </w:tcPr>
          <w:p w14:paraId="4EF3B3E7" w14:textId="77777777" w:rsidR="00F261CF" w:rsidRDefault="00F261CF" w:rsidP="00F261CF">
            <w:pPr>
              <w:rPr>
                <w:sz w:val="21"/>
                <w:szCs w:val="21"/>
              </w:rPr>
            </w:pPr>
            <w:r>
              <w:rPr>
                <w:sz w:val="21"/>
                <w:szCs w:val="21"/>
              </w:rPr>
              <w:t>Purchase of Annuities</w:t>
            </w:r>
          </w:p>
        </w:tc>
        <w:tc>
          <w:tcPr>
            <w:tcW w:w="1514" w:type="dxa"/>
          </w:tcPr>
          <w:p w14:paraId="764973BD" w14:textId="0DC2C536" w:rsidR="00F261CF" w:rsidRDefault="00DB645B" w:rsidP="00F261CF">
            <w:pPr>
              <w:rPr>
                <w:rStyle w:val="Hyperlink"/>
                <w:sz w:val="21"/>
                <w:szCs w:val="21"/>
              </w:rPr>
            </w:pPr>
            <w:hyperlink r:id="rId23" w:history="1"/>
          </w:p>
          <w:p w14:paraId="7AEA1D28" w14:textId="77777777" w:rsidR="00F261CF" w:rsidRDefault="00F261CF" w:rsidP="00F261CF">
            <w:pPr>
              <w:rPr>
                <w:rStyle w:val="Hyperlink"/>
                <w:sz w:val="21"/>
                <w:szCs w:val="21"/>
              </w:rPr>
            </w:pPr>
            <w:r>
              <w:rPr>
                <w:rStyle w:val="Hyperlink"/>
                <w:sz w:val="21"/>
                <w:szCs w:val="21"/>
              </w:rPr>
              <w:t>Nebraska requirement</w:t>
            </w:r>
          </w:p>
        </w:tc>
        <w:tc>
          <w:tcPr>
            <w:tcW w:w="3209" w:type="dxa"/>
          </w:tcPr>
          <w:p w14:paraId="026D7F58" w14:textId="77777777" w:rsidR="00F261CF" w:rsidRPr="005D0531" w:rsidRDefault="00F261CF" w:rsidP="00F261CF">
            <w:pPr>
              <w:pStyle w:val="Default"/>
              <w:rPr>
                <w:rFonts w:cstheme="minorHAnsi"/>
                <w:sz w:val="21"/>
                <w:szCs w:val="21"/>
              </w:rPr>
            </w:pPr>
            <w:r>
              <w:rPr>
                <w:sz w:val="21"/>
                <w:szCs w:val="21"/>
              </w:rPr>
              <w:t>For purchase of Immediate or deferred annuities, t</w:t>
            </w:r>
            <w:r>
              <w:rPr>
                <w:sz w:val="23"/>
                <w:szCs w:val="23"/>
              </w:rPr>
              <w:t>he insurer shall collect adequate consideration for the cost of annuities purchased under contract option by transfer from the segregated portfolio.</w:t>
            </w:r>
          </w:p>
        </w:tc>
        <w:tc>
          <w:tcPr>
            <w:tcW w:w="1376" w:type="dxa"/>
          </w:tcPr>
          <w:p w14:paraId="3DBB1787" w14:textId="77777777" w:rsidR="00F261CF" w:rsidRPr="00A0019E" w:rsidRDefault="00F261CF" w:rsidP="00F261CF">
            <w:pPr>
              <w:rPr>
                <w:sz w:val="21"/>
                <w:szCs w:val="21"/>
              </w:rPr>
            </w:pPr>
          </w:p>
        </w:tc>
      </w:tr>
      <w:tr w:rsidR="00F261CF" w:rsidRPr="00A0019E" w14:paraId="1F506977" w14:textId="77777777" w:rsidTr="00283435">
        <w:tc>
          <w:tcPr>
            <w:tcW w:w="1165" w:type="dxa"/>
            <w:shd w:val="clear" w:color="auto" w:fill="E7E6E6" w:themeFill="background2"/>
          </w:tcPr>
          <w:p w14:paraId="21332C75" w14:textId="77777777" w:rsidR="00F261CF" w:rsidRPr="00A0019E" w:rsidRDefault="00F261CF" w:rsidP="00F261CF">
            <w:pPr>
              <w:rPr>
                <w:b/>
                <w:sz w:val="21"/>
                <w:szCs w:val="21"/>
              </w:rPr>
            </w:pPr>
          </w:p>
        </w:tc>
        <w:tc>
          <w:tcPr>
            <w:tcW w:w="8185" w:type="dxa"/>
            <w:gridSpan w:val="4"/>
            <w:shd w:val="clear" w:color="auto" w:fill="E7E6E6" w:themeFill="background2"/>
          </w:tcPr>
          <w:p w14:paraId="433D525B" w14:textId="77777777" w:rsidR="00F261CF" w:rsidRPr="00A0019E" w:rsidRDefault="00F261CF" w:rsidP="00F261CF">
            <w:pPr>
              <w:rPr>
                <w:b/>
                <w:sz w:val="21"/>
                <w:szCs w:val="21"/>
              </w:rPr>
            </w:pPr>
            <w:r>
              <w:rPr>
                <w:b/>
                <w:sz w:val="21"/>
                <w:szCs w:val="21"/>
              </w:rPr>
              <w:t>PRODUCT VARIATIONS</w:t>
            </w:r>
          </w:p>
          <w:p w14:paraId="228D3C56" w14:textId="77777777" w:rsidR="00F261CF" w:rsidRPr="00A0019E" w:rsidRDefault="00F261CF" w:rsidP="00F261CF">
            <w:pPr>
              <w:rPr>
                <w:sz w:val="21"/>
                <w:szCs w:val="21"/>
              </w:rPr>
            </w:pPr>
            <w:r w:rsidRPr="00A0019E">
              <w:rPr>
                <w:b/>
                <w:sz w:val="21"/>
                <w:szCs w:val="21"/>
              </w:rPr>
              <w:t>These requirements only apply to certain products – see the left column for product types.</w:t>
            </w:r>
            <w:r>
              <w:rPr>
                <w:b/>
                <w:sz w:val="21"/>
                <w:szCs w:val="21"/>
              </w:rPr>
              <w:t xml:space="preserve">  Synthetic GICs are in a separate section above.</w:t>
            </w:r>
          </w:p>
        </w:tc>
      </w:tr>
      <w:tr w:rsidR="00B51FD0" w:rsidRPr="00A0019E" w14:paraId="093E6B9D" w14:textId="77777777" w:rsidTr="004E37F5">
        <w:tc>
          <w:tcPr>
            <w:tcW w:w="1165" w:type="dxa"/>
            <w:shd w:val="clear" w:color="auto" w:fill="FFFFFF" w:themeFill="background1"/>
          </w:tcPr>
          <w:p w14:paraId="6AEAB2E0" w14:textId="77777777" w:rsidR="00F261CF" w:rsidRPr="00A0019E" w:rsidRDefault="00F261CF" w:rsidP="00F261CF">
            <w:pPr>
              <w:rPr>
                <w:sz w:val="21"/>
                <w:szCs w:val="21"/>
              </w:rPr>
            </w:pPr>
            <w:r w:rsidRPr="00A0019E">
              <w:rPr>
                <w:sz w:val="21"/>
                <w:szCs w:val="21"/>
              </w:rPr>
              <w:sym w:font="Wingdings" w:char="F06F"/>
            </w:r>
          </w:p>
        </w:tc>
        <w:tc>
          <w:tcPr>
            <w:tcW w:w="2086" w:type="dxa"/>
            <w:shd w:val="clear" w:color="auto" w:fill="FFFFFF" w:themeFill="background1"/>
          </w:tcPr>
          <w:p w14:paraId="48DD2181" w14:textId="77777777" w:rsidR="00F261CF" w:rsidRDefault="00F261CF" w:rsidP="00F261CF">
            <w:pPr>
              <w:rPr>
                <w:sz w:val="21"/>
                <w:szCs w:val="21"/>
              </w:rPr>
            </w:pPr>
            <w:r>
              <w:rPr>
                <w:sz w:val="21"/>
                <w:szCs w:val="21"/>
              </w:rPr>
              <w:t>Separate Accounts</w:t>
            </w:r>
          </w:p>
        </w:tc>
        <w:tc>
          <w:tcPr>
            <w:tcW w:w="1514" w:type="dxa"/>
            <w:shd w:val="clear" w:color="auto" w:fill="FFFFFF" w:themeFill="background1"/>
          </w:tcPr>
          <w:p w14:paraId="665B1B84" w14:textId="77777777" w:rsidR="00F261CF" w:rsidRDefault="00DB645B" w:rsidP="00F261CF">
            <w:pPr>
              <w:rPr>
                <w:sz w:val="21"/>
                <w:szCs w:val="21"/>
              </w:rPr>
            </w:pPr>
            <w:hyperlink r:id="rId24" w:history="1">
              <w:r w:rsidR="00F261CF">
                <w:rPr>
                  <w:rStyle w:val="Hyperlink"/>
                  <w:sz w:val="21"/>
                  <w:szCs w:val="21"/>
                </w:rPr>
                <w:t>§44-402.01</w:t>
              </w:r>
            </w:hyperlink>
          </w:p>
          <w:p w14:paraId="503B85FF" w14:textId="77777777" w:rsidR="00F261CF" w:rsidRDefault="00DB645B" w:rsidP="00F261CF">
            <w:pPr>
              <w:rPr>
                <w:sz w:val="21"/>
                <w:szCs w:val="21"/>
              </w:rPr>
            </w:pPr>
            <w:hyperlink r:id="rId25" w:history="1">
              <w:r w:rsidR="00F261CF">
                <w:rPr>
                  <w:rStyle w:val="Hyperlink"/>
                  <w:sz w:val="21"/>
                  <w:szCs w:val="21"/>
                </w:rPr>
                <w:t>§44-402.02</w:t>
              </w:r>
            </w:hyperlink>
          </w:p>
          <w:p w14:paraId="169068D2" w14:textId="77777777" w:rsidR="00F261CF" w:rsidRDefault="00DB645B" w:rsidP="00F261CF">
            <w:pPr>
              <w:rPr>
                <w:sz w:val="21"/>
                <w:szCs w:val="21"/>
              </w:rPr>
            </w:pPr>
            <w:hyperlink r:id="rId26" w:history="1">
              <w:r w:rsidR="00F261CF">
                <w:rPr>
                  <w:rStyle w:val="Hyperlink"/>
                  <w:sz w:val="21"/>
                  <w:szCs w:val="21"/>
                </w:rPr>
                <w:t>§44-402.03</w:t>
              </w:r>
            </w:hyperlink>
          </w:p>
          <w:p w14:paraId="3D120A52" w14:textId="77777777" w:rsidR="00F261CF" w:rsidRDefault="00DB645B" w:rsidP="00F261CF">
            <w:pPr>
              <w:rPr>
                <w:sz w:val="21"/>
                <w:szCs w:val="21"/>
              </w:rPr>
            </w:pPr>
            <w:hyperlink r:id="rId27" w:history="1">
              <w:r w:rsidR="00F261CF">
                <w:rPr>
                  <w:rStyle w:val="Hyperlink"/>
                  <w:sz w:val="21"/>
                  <w:szCs w:val="21"/>
                </w:rPr>
                <w:t>§44-402.04</w:t>
              </w:r>
            </w:hyperlink>
          </w:p>
        </w:tc>
        <w:tc>
          <w:tcPr>
            <w:tcW w:w="3209" w:type="dxa"/>
            <w:shd w:val="clear" w:color="auto" w:fill="FFFFFF" w:themeFill="background1"/>
          </w:tcPr>
          <w:p w14:paraId="7822B0F2" w14:textId="77777777" w:rsidR="00F261CF" w:rsidRDefault="00F261CF" w:rsidP="00F261CF">
            <w:pPr>
              <w:rPr>
                <w:sz w:val="21"/>
                <w:szCs w:val="21"/>
              </w:rPr>
            </w:pPr>
            <w:r>
              <w:rPr>
                <w:sz w:val="21"/>
                <w:szCs w:val="21"/>
              </w:rPr>
              <w:t xml:space="preserve">Verify </w:t>
            </w:r>
            <w:r w:rsidRPr="00E751E1">
              <w:rPr>
                <w:b/>
                <w:sz w:val="21"/>
                <w:szCs w:val="21"/>
              </w:rPr>
              <w:t xml:space="preserve">Domestic </w:t>
            </w:r>
            <w:r>
              <w:rPr>
                <w:sz w:val="21"/>
                <w:szCs w:val="21"/>
              </w:rPr>
              <w:t xml:space="preserve">Company approved pursuant to </w:t>
            </w:r>
            <w:r w:rsidRPr="0004391A">
              <w:rPr>
                <w:sz w:val="21"/>
                <w:szCs w:val="21"/>
              </w:rPr>
              <w:t>§</w:t>
            </w:r>
            <w:r>
              <w:rPr>
                <w:sz w:val="21"/>
                <w:szCs w:val="21"/>
              </w:rPr>
              <w:t>44-402.01. Review Plan of Operations.</w:t>
            </w:r>
          </w:p>
        </w:tc>
        <w:tc>
          <w:tcPr>
            <w:tcW w:w="1376" w:type="dxa"/>
            <w:shd w:val="clear" w:color="auto" w:fill="FFFFFF" w:themeFill="background1"/>
          </w:tcPr>
          <w:p w14:paraId="65EB26DA" w14:textId="77777777" w:rsidR="00F261CF" w:rsidRPr="00A0019E" w:rsidRDefault="00F261CF" w:rsidP="00F261CF">
            <w:pPr>
              <w:rPr>
                <w:sz w:val="21"/>
                <w:szCs w:val="21"/>
              </w:rPr>
            </w:pPr>
          </w:p>
        </w:tc>
      </w:tr>
      <w:tr w:rsidR="00B51FD0" w:rsidRPr="00A0019E" w14:paraId="38A3A6F0" w14:textId="77777777" w:rsidTr="004E37F5">
        <w:tc>
          <w:tcPr>
            <w:tcW w:w="1165" w:type="dxa"/>
            <w:shd w:val="clear" w:color="auto" w:fill="FFFFFF" w:themeFill="background1"/>
          </w:tcPr>
          <w:p w14:paraId="3AB32786" w14:textId="77777777" w:rsidR="00F261CF" w:rsidRPr="00A0019E" w:rsidRDefault="00F261CF" w:rsidP="00F261CF">
            <w:pPr>
              <w:rPr>
                <w:sz w:val="21"/>
                <w:szCs w:val="21"/>
              </w:rPr>
            </w:pPr>
            <w:r w:rsidRPr="00A0019E">
              <w:rPr>
                <w:sz w:val="21"/>
                <w:szCs w:val="21"/>
              </w:rPr>
              <w:sym w:font="Wingdings" w:char="F06F"/>
            </w:r>
          </w:p>
        </w:tc>
        <w:tc>
          <w:tcPr>
            <w:tcW w:w="2086" w:type="dxa"/>
            <w:shd w:val="clear" w:color="auto" w:fill="FFFFFF" w:themeFill="background1"/>
          </w:tcPr>
          <w:p w14:paraId="06001015" w14:textId="77777777" w:rsidR="00F261CF" w:rsidRDefault="00F261CF" w:rsidP="00F261CF">
            <w:pPr>
              <w:rPr>
                <w:sz w:val="21"/>
                <w:szCs w:val="21"/>
              </w:rPr>
            </w:pPr>
            <w:r>
              <w:rPr>
                <w:sz w:val="21"/>
                <w:szCs w:val="21"/>
              </w:rPr>
              <w:t>Funding Agreement</w:t>
            </w:r>
          </w:p>
        </w:tc>
        <w:tc>
          <w:tcPr>
            <w:tcW w:w="1514" w:type="dxa"/>
            <w:shd w:val="clear" w:color="auto" w:fill="FFFFFF" w:themeFill="background1"/>
          </w:tcPr>
          <w:p w14:paraId="4B75A548" w14:textId="77777777" w:rsidR="00F261CF" w:rsidRDefault="00DB645B" w:rsidP="00F261CF">
            <w:pPr>
              <w:rPr>
                <w:sz w:val="21"/>
                <w:szCs w:val="21"/>
              </w:rPr>
            </w:pPr>
            <w:hyperlink r:id="rId28" w:history="1">
              <w:r w:rsidR="00F261CF">
                <w:rPr>
                  <w:rStyle w:val="Hyperlink"/>
                  <w:sz w:val="21"/>
                  <w:szCs w:val="21"/>
                </w:rPr>
                <w:t>§44-708</w:t>
              </w:r>
            </w:hyperlink>
          </w:p>
        </w:tc>
        <w:tc>
          <w:tcPr>
            <w:tcW w:w="3209" w:type="dxa"/>
            <w:shd w:val="clear" w:color="auto" w:fill="FFFFFF" w:themeFill="background1"/>
          </w:tcPr>
          <w:p w14:paraId="7B52A913" w14:textId="77777777" w:rsidR="00F261CF" w:rsidRDefault="00F261CF" w:rsidP="00F261CF">
            <w:pPr>
              <w:pStyle w:val="Default"/>
              <w:rPr>
                <w:sz w:val="21"/>
                <w:szCs w:val="21"/>
              </w:rPr>
            </w:pPr>
            <w:r>
              <w:rPr>
                <w:sz w:val="21"/>
                <w:szCs w:val="21"/>
              </w:rPr>
              <w:t xml:space="preserve">Funding agreements are not deemed the business of insurance, life insurance or an annuity or other line of business as set forth in section 44-201, a security as defined in subdivision (15) of section 8-1101, or receipt of gross premiums as set forth in section </w:t>
            </w:r>
            <w:r>
              <w:rPr>
                <w:sz w:val="21"/>
                <w:szCs w:val="21"/>
              </w:rPr>
              <w:lastRenderedPageBreak/>
              <w:t>77-908. Funding agreements do not need to be filed with the Department, but if they are, they will be reviewed for compliance with NE Statute 44-708.</w:t>
            </w:r>
          </w:p>
        </w:tc>
        <w:tc>
          <w:tcPr>
            <w:tcW w:w="1376" w:type="dxa"/>
            <w:shd w:val="clear" w:color="auto" w:fill="FFFFFF" w:themeFill="background1"/>
          </w:tcPr>
          <w:p w14:paraId="2D2D29A7" w14:textId="77777777" w:rsidR="00F261CF" w:rsidRPr="00A0019E" w:rsidRDefault="00F261CF" w:rsidP="00F261CF">
            <w:pPr>
              <w:rPr>
                <w:sz w:val="21"/>
                <w:szCs w:val="21"/>
              </w:rPr>
            </w:pPr>
          </w:p>
        </w:tc>
      </w:tr>
      <w:tr w:rsidR="00B51FD0" w:rsidRPr="00A0019E" w14:paraId="530F0320" w14:textId="77777777" w:rsidTr="004E37F5">
        <w:trPr>
          <w:trHeight w:val="629"/>
        </w:trPr>
        <w:tc>
          <w:tcPr>
            <w:tcW w:w="1165" w:type="dxa"/>
          </w:tcPr>
          <w:p w14:paraId="794812A9" w14:textId="77777777" w:rsidR="00F261CF" w:rsidRPr="00A0019E" w:rsidRDefault="00F261CF" w:rsidP="00F261CF">
            <w:pPr>
              <w:rPr>
                <w:sz w:val="21"/>
                <w:szCs w:val="21"/>
              </w:rPr>
            </w:pPr>
            <w:r w:rsidRPr="00A0019E">
              <w:rPr>
                <w:sz w:val="21"/>
                <w:szCs w:val="21"/>
              </w:rPr>
              <w:sym w:font="Wingdings" w:char="F06F"/>
            </w:r>
          </w:p>
        </w:tc>
        <w:tc>
          <w:tcPr>
            <w:tcW w:w="2086" w:type="dxa"/>
          </w:tcPr>
          <w:p w14:paraId="5D00D68D" w14:textId="77777777" w:rsidR="00F261CF" w:rsidRDefault="00F261CF" w:rsidP="00F261CF">
            <w:pPr>
              <w:rPr>
                <w:sz w:val="21"/>
                <w:szCs w:val="21"/>
              </w:rPr>
            </w:pPr>
            <w:r>
              <w:rPr>
                <w:sz w:val="21"/>
                <w:szCs w:val="21"/>
              </w:rPr>
              <w:t>Retirement plans for insurers’ employees</w:t>
            </w:r>
          </w:p>
        </w:tc>
        <w:tc>
          <w:tcPr>
            <w:tcW w:w="1514" w:type="dxa"/>
            <w:shd w:val="clear" w:color="auto" w:fill="FFFFFF" w:themeFill="background1"/>
          </w:tcPr>
          <w:p w14:paraId="0433D47D" w14:textId="77777777" w:rsidR="00F261CF" w:rsidRPr="00A0019E" w:rsidRDefault="00DB645B" w:rsidP="00F261CF">
            <w:pPr>
              <w:rPr>
                <w:rStyle w:val="Hyperlink"/>
                <w:color w:val="auto"/>
                <w:sz w:val="21"/>
                <w:szCs w:val="21"/>
                <w:u w:val="none"/>
              </w:rPr>
            </w:pPr>
            <w:hyperlink r:id="rId29" w:history="1">
              <w:r w:rsidR="00F261CF" w:rsidRPr="00E11581">
                <w:rPr>
                  <w:rStyle w:val="Hyperlink"/>
                  <w:sz w:val="21"/>
                  <w:szCs w:val="21"/>
                </w:rPr>
                <w:t>210 NAC Ch. 4</w:t>
              </w:r>
            </w:hyperlink>
          </w:p>
        </w:tc>
        <w:tc>
          <w:tcPr>
            <w:tcW w:w="3209" w:type="dxa"/>
            <w:shd w:val="clear" w:color="auto" w:fill="FFFFFF" w:themeFill="background1"/>
          </w:tcPr>
          <w:p w14:paraId="536B7D26" w14:textId="77777777" w:rsidR="00F261CF" w:rsidRDefault="00F261CF" w:rsidP="00F261CF">
            <w:pPr>
              <w:rPr>
                <w:rFonts w:cstheme="minorHAnsi"/>
                <w:sz w:val="21"/>
                <w:szCs w:val="21"/>
              </w:rPr>
            </w:pPr>
            <w:r>
              <w:rPr>
                <w:rFonts w:cstheme="minorHAnsi"/>
                <w:sz w:val="21"/>
                <w:szCs w:val="21"/>
              </w:rPr>
              <w:t xml:space="preserve">Assurance insurer’s employee plans are compliant. </w:t>
            </w:r>
          </w:p>
        </w:tc>
        <w:tc>
          <w:tcPr>
            <w:tcW w:w="1376" w:type="dxa"/>
            <w:shd w:val="clear" w:color="auto" w:fill="FFFFFF" w:themeFill="background1"/>
          </w:tcPr>
          <w:p w14:paraId="5DAD0E6B" w14:textId="77777777" w:rsidR="00F261CF" w:rsidRPr="00A0019E" w:rsidRDefault="00F261CF" w:rsidP="00F261CF">
            <w:pPr>
              <w:rPr>
                <w:sz w:val="21"/>
                <w:szCs w:val="21"/>
              </w:rPr>
            </w:pPr>
          </w:p>
        </w:tc>
      </w:tr>
      <w:tr w:rsidR="00F261CF" w:rsidRPr="00A0019E" w14:paraId="3006EF6C" w14:textId="77777777" w:rsidTr="00283435">
        <w:tc>
          <w:tcPr>
            <w:tcW w:w="1165" w:type="dxa"/>
            <w:shd w:val="clear" w:color="auto" w:fill="E7E6E6" w:themeFill="background2"/>
          </w:tcPr>
          <w:p w14:paraId="6E383AC9" w14:textId="77777777" w:rsidR="00F261CF" w:rsidRPr="00A0019E" w:rsidRDefault="00F261CF" w:rsidP="00F261CF">
            <w:pPr>
              <w:rPr>
                <w:sz w:val="21"/>
                <w:szCs w:val="21"/>
              </w:rPr>
            </w:pPr>
          </w:p>
        </w:tc>
        <w:tc>
          <w:tcPr>
            <w:tcW w:w="8185" w:type="dxa"/>
            <w:gridSpan w:val="4"/>
            <w:shd w:val="clear" w:color="auto" w:fill="E7E6E6" w:themeFill="background2"/>
          </w:tcPr>
          <w:p w14:paraId="7E341B44" w14:textId="77777777" w:rsidR="00F261CF" w:rsidRPr="00A0019E" w:rsidRDefault="00F261CF" w:rsidP="00F261CF">
            <w:pPr>
              <w:rPr>
                <w:sz w:val="21"/>
                <w:szCs w:val="21"/>
              </w:rPr>
            </w:pPr>
            <w:r w:rsidRPr="00A0019E">
              <w:rPr>
                <w:sz w:val="21"/>
                <w:szCs w:val="21"/>
              </w:rPr>
              <w:br w:type="page"/>
            </w:r>
            <w:r w:rsidRPr="00A0019E">
              <w:rPr>
                <w:b/>
                <w:sz w:val="21"/>
                <w:szCs w:val="21"/>
              </w:rPr>
              <w:t>ANNUITY APPLICATION</w:t>
            </w:r>
          </w:p>
        </w:tc>
      </w:tr>
      <w:tr w:rsidR="002836DC" w:rsidRPr="00A0019E" w14:paraId="71E6C830" w14:textId="77777777" w:rsidTr="00210A9F">
        <w:tc>
          <w:tcPr>
            <w:tcW w:w="1165" w:type="dxa"/>
            <w:shd w:val="clear" w:color="auto" w:fill="FFFFFF" w:themeFill="background1"/>
          </w:tcPr>
          <w:p w14:paraId="151BD57C" w14:textId="77777777" w:rsidR="002836DC" w:rsidRPr="00A0019E" w:rsidRDefault="002836DC" w:rsidP="002836DC">
            <w:pPr>
              <w:rPr>
                <w:sz w:val="21"/>
                <w:szCs w:val="21"/>
              </w:rPr>
            </w:pPr>
            <w:r w:rsidRPr="00A0019E">
              <w:rPr>
                <w:sz w:val="21"/>
                <w:szCs w:val="21"/>
              </w:rPr>
              <w:sym w:font="Wingdings" w:char="F06F"/>
            </w:r>
          </w:p>
        </w:tc>
        <w:tc>
          <w:tcPr>
            <w:tcW w:w="2086" w:type="dxa"/>
            <w:tcBorders>
              <w:top w:val="single" w:sz="8" w:space="0" w:color="auto"/>
              <w:left w:val="nil"/>
              <w:bottom w:val="single" w:sz="8" w:space="0" w:color="auto"/>
              <w:right w:val="single" w:sz="8" w:space="0" w:color="auto"/>
            </w:tcBorders>
          </w:tcPr>
          <w:p w14:paraId="67D9A1F4" w14:textId="7E1AE9BF" w:rsidR="002836DC" w:rsidRPr="00A0019E" w:rsidRDefault="002836DC" w:rsidP="002836DC">
            <w:pPr>
              <w:rPr>
                <w:sz w:val="21"/>
                <w:szCs w:val="21"/>
              </w:rPr>
            </w:pPr>
            <w:r>
              <w:rPr>
                <w:sz w:val="21"/>
                <w:szCs w:val="21"/>
              </w:rPr>
              <w:t>Electronic application and delivery of documents or notices</w:t>
            </w:r>
          </w:p>
        </w:tc>
        <w:tc>
          <w:tcPr>
            <w:tcW w:w="1514" w:type="dxa"/>
            <w:tcBorders>
              <w:top w:val="single" w:sz="8" w:space="0" w:color="auto"/>
              <w:left w:val="nil"/>
              <w:bottom w:val="single" w:sz="8" w:space="0" w:color="auto"/>
              <w:right w:val="single" w:sz="8" w:space="0" w:color="auto"/>
            </w:tcBorders>
          </w:tcPr>
          <w:p w14:paraId="69865299" w14:textId="77777777" w:rsidR="002836DC" w:rsidRDefault="002836DC" w:rsidP="002836DC">
            <w:hyperlink r:id="rId30" w:history="1">
              <w:r>
                <w:rPr>
                  <w:rStyle w:val="Hyperlink"/>
                </w:rPr>
                <w:t>§ 44-315</w:t>
              </w:r>
            </w:hyperlink>
          </w:p>
          <w:p w14:paraId="611BAE7E" w14:textId="77777777" w:rsidR="002836DC" w:rsidRDefault="002836DC" w:rsidP="002836DC">
            <w:pPr>
              <w:rPr>
                <w:rStyle w:val="Hyperlink"/>
                <w:sz w:val="21"/>
                <w:szCs w:val="21"/>
              </w:rPr>
            </w:pPr>
            <w:hyperlink r:id="rId31" w:history="1">
              <w:r>
                <w:rPr>
                  <w:rStyle w:val="Hyperlink"/>
                  <w:sz w:val="21"/>
                  <w:szCs w:val="21"/>
                </w:rPr>
                <w:t>Federal ESIGN law, 15 U.S.C. 7001.</w:t>
              </w:r>
            </w:hyperlink>
          </w:p>
          <w:p w14:paraId="1E3496BE" w14:textId="7E01FBB9" w:rsidR="002836DC" w:rsidRPr="00A0019E" w:rsidRDefault="002836DC" w:rsidP="002836DC">
            <w:pPr>
              <w:rPr>
                <w:sz w:val="21"/>
                <w:szCs w:val="21"/>
              </w:rPr>
            </w:pPr>
            <w:hyperlink r:id="rId32" w:history="1">
              <w:r>
                <w:rPr>
                  <w:rStyle w:val="Hyperlink"/>
                  <w:sz w:val="21"/>
                  <w:szCs w:val="21"/>
                </w:rPr>
                <w:t>(UETA), §§ 668.50(5) and (8), F.S.</w:t>
              </w:r>
            </w:hyperlink>
          </w:p>
        </w:tc>
        <w:tc>
          <w:tcPr>
            <w:tcW w:w="3209" w:type="dxa"/>
            <w:tcBorders>
              <w:top w:val="single" w:sz="8" w:space="0" w:color="auto"/>
              <w:left w:val="nil"/>
              <w:bottom w:val="single" w:sz="8" w:space="0" w:color="auto"/>
              <w:right w:val="single" w:sz="8" w:space="0" w:color="auto"/>
            </w:tcBorders>
          </w:tcPr>
          <w:p w14:paraId="2D22F440" w14:textId="77777777" w:rsidR="002836DC" w:rsidRDefault="002836DC" w:rsidP="002836DC">
            <w:pPr>
              <w:rPr>
                <w:sz w:val="21"/>
                <w:szCs w:val="21"/>
              </w:rPr>
            </w:pPr>
            <w:r>
              <w:rPr>
                <w:sz w:val="21"/>
                <w:szCs w:val="21"/>
              </w:rPr>
              <w:t>Consumer must affirmatively consent to electronic delivery and be given notice of option to withdraw consent.</w:t>
            </w:r>
          </w:p>
          <w:p w14:paraId="31010176" w14:textId="77777777" w:rsidR="002836DC" w:rsidRDefault="002836DC" w:rsidP="002836DC">
            <w:pPr>
              <w:rPr>
                <w:sz w:val="21"/>
                <w:szCs w:val="21"/>
              </w:rPr>
            </w:pPr>
            <w:r>
              <w:rPr>
                <w:sz w:val="21"/>
                <w:szCs w:val="21"/>
              </w:rPr>
              <w:t>Describe safeguards used to protect private and confidential information. Must be in accord with Uniform Electronic Transaction Act.</w:t>
            </w:r>
          </w:p>
          <w:p w14:paraId="753FA6BA" w14:textId="0EA1C6EA" w:rsidR="002836DC" w:rsidRPr="00A0019E" w:rsidRDefault="002836DC" w:rsidP="002836DC">
            <w:pPr>
              <w:rPr>
                <w:rFonts w:cstheme="minorHAnsi"/>
                <w:bCs/>
                <w:sz w:val="21"/>
                <w:szCs w:val="21"/>
              </w:rPr>
            </w:pPr>
            <w:r>
              <w:rPr>
                <w:sz w:val="21"/>
                <w:szCs w:val="21"/>
              </w:rPr>
              <w:t>Recorded telephone conversations do not count as electronic signatures.</w:t>
            </w:r>
          </w:p>
        </w:tc>
        <w:tc>
          <w:tcPr>
            <w:tcW w:w="1376" w:type="dxa"/>
            <w:shd w:val="clear" w:color="auto" w:fill="FFFFFF" w:themeFill="background1"/>
          </w:tcPr>
          <w:p w14:paraId="25EC362B" w14:textId="77777777" w:rsidR="002836DC" w:rsidRPr="00A0019E" w:rsidRDefault="002836DC" w:rsidP="002836DC">
            <w:pPr>
              <w:rPr>
                <w:sz w:val="21"/>
                <w:szCs w:val="21"/>
              </w:rPr>
            </w:pPr>
          </w:p>
        </w:tc>
      </w:tr>
      <w:tr w:rsidR="00B51FD0" w:rsidRPr="00A0019E" w14:paraId="2D2EF2B6" w14:textId="77777777" w:rsidTr="004E37F5">
        <w:tc>
          <w:tcPr>
            <w:tcW w:w="1165" w:type="dxa"/>
            <w:shd w:val="clear" w:color="auto" w:fill="FFFFFF" w:themeFill="background1"/>
          </w:tcPr>
          <w:p w14:paraId="3D9ADEF6" w14:textId="77777777" w:rsidR="00F261CF" w:rsidRPr="00A0019E" w:rsidRDefault="00F261CF" w:rsidP="00F261CF">
            <w:pPr>
              <w:rPr>
                <w:sz w:val="21"/>
                <w:szCs w:val="21"/>
              </w:rPr>
            </w:pPr>
            <w:r w:rsidRPr="00A0019E">
              <w:rPr>
                <w:sz w:val="21"/>
                <w:szCs w:val="21"/>
              </w:rPr>
              <w:sym w:font="Wingdings" w:char="F06F"/>
            </w:r>
          </w:p>
        </w:tc>
        <w:tc>
          <w:tcPr>
            <w:tcW w:w="2086" w:type="dxa"/>
            <w:shd w:val="clear" w:color="auto" w:fill="FFFFFF" w:themeFill="background1"/>
          </w:tcPr>
          <w:p w14:paraId="79685137" w14:textId="77777777" w:rsidR="00F261CF" w:rsidRPr="00A0019E" w:rsidRDefault="00F261CF" w:rsidP="00F261CF">
            <w:pPr>
              <w:rPr>
                <w:sz w:val="21"/>
                <w:szCs w:val="21"/>
              </w:rPr>
            </w:pPr>
            <w:r w:rsidRPr="00A0019E">
              <w:rPr>
                <w:sz w:val="21"/>
                <w:szCs w:val="21"/>
              </w:rPr>
              <w:t>Filing of application for non-variable annuity</w:t>
            </w:r>
          </w:p>
        </w:tc>
        <w:tc>
          <w:tcPr>
            <w:tcW w:w="1514" w:type="dxa"/>
            <w:shd w:val="clear" w:color="auto" w:fill="FFFFFF" w:themeFill="background1"/>
          </w:tcPr>
          <w:p w14:paraId="3200A09E" w14:textId="77777777" w:rsidR="00F261CF" w:rsidRPr="00A0019E" w:rsidRDefault="00F261CF" w:rsidP="00F261CF">
            <w:pPr>
              <w:rPr>
                <w:sz w:val="21"/>
                <w:szCs w:val="21"/>
              </w:rPr>
            </w:pPr>
          </w:p>
        </w:tc>
        <w:tc>
          <w:tcPr>
            <w:tcW w:w="3209" w:type="dxa"/>
            <w:shd w:val="clear" w:color="auto" w:fill="FFFFFF" w:themeFill="background1"/>
          </w:tcPr>
          <w:p w14:paraId="5D1EAE21" w14:textId="77777777" w:rsidR="00F261CF" w:rsidRPr="00A0019E" w:rsidRDefault="00F261CF" w:rsidP="00F261CF">
            <w:pPr>
              <w:rPr>
                <w:rFonts w:cstheme="minorHAnsi"/>
                <w:bCs/>
                <w:sz w:val="21"/>
                <w:szCs w:val="21"/>
              </w:rPr>
            </w:pPr>
            <w:r w:rsidRPr="00A0019E">
              <w:rPr>
                <w:rFonts w:cstheme="minorHAnsi"/>
                <w:bCs/>
                <w:sz w:val="21"/>
                <w:szCs w:val="21"/>
              </w:rPr>
              <w:t>Application does not need to be filed if it does not become a part of the contract and the contract will not be contested based on the application.</w:t>
            </w:r>
          </w:p>
        </w:tc>
        <w:tc>
          <w:tcPr>
            <w:tcW w:w="1376" w:type="dxa"/>
            <w:shd w:val="clear" w:color="auto" w:fill="FFFFFF" w:themeFill="background1"/>
          </w:tcPr>
          <w:p w14:paraId="7D0B14EE" w14:textId="77777777" w:rsidR="00F261CF" w:rsidRPr="00A0019E" w:rsidRDefault="00F261CF" w:rsidP="00F261CF">
            <w:pPr>
              <w:rPr>
                <w:sz w:val="21"/>
                <w:szCs w:val="21"/>
              </w:rPr>
            </w:pPr>
          </w:p>
        </w:tc>
      </w:tr>
      <w:tr w:rsidR="00F261CF" w:rsidRPr="00A0019E" w14:paraId="69254B9D" w14:textId="77777777" w:rsidTr="00283435">
        <w:tc>
          <w:tcPr>
            <w:tcW w:w="1165" w:type="dxa"/>
            <w:shd w:val="clear" w:color="auto" w:fill="E7E6E6" w:themeFill="background2"/>
          </w:tcPr>
          <w:p w14:paraId="7D21FA84" w14:textId="77777777" w:rsidR="00F261CF" w:rsidRPr="00A0019E" w:rsidRDefault="00F261CF" w:rsidP="00F261CF">
            <w:pPr>
              <w:rPr>
                <w:sz w:val="21"/>
                <w:szCs w:val="21"/>
              </w:rPr>
            </w:pPr>
          </w:p>
        </w:tc>
        <w:tc>
          <w:tcPr>
            <w:tcW w:w="8185" w:type="dxa"/>
            <w:gridSpan w:val="4"/>
            <w:shd w:val="clear" w:color="auto" w:fill="E7E6E6" w:themeFill="background2"/>
          </w:tcPr>
          <w:p w14:paraId="1B94A852" w14:textId="77777777" w:rsidR="00F261CF" w:rsidRPr="00A0019E" w:rsidRDefault="00F261CF" w:rsidP="00F261CF">
            <w:pPr>
              <w:rPr>
                <w:b/>
                <w:sz w:val="21"/>
                <w:szCs w:val="21"/>
              </w:rPr>
            </w:pPr>
            <w:r w:rsidRPr="00A0019E">
              <w:rPr>
                <w:b/>
                <w:sz w:val="21"/>
                <w:szCs w:val="21"/>
              </w:rPr>
              <w:t>ENDORSEMENTS, RIDERS, OR AMENDMENTS</w:t>
            </w:r>
          </w:p>
          <w:p w14:paraId="310A09C3" w14:textId="77777777" w:rsidR="00F261CF" w:rsidRPr="00A0019E" w:rsidRDefault="00F261CF" w:rsidP="00F261CF">
            <w:pPr>
              <w:rPr>
                <w:b/>
                <w:sz w:val="21"/>
                <w:szCs w:val="21"/>
              </w:rPr>
            </w:pPr>
            <w:r w:rsidRPr="00A0019E">
              <w:rPr>
                <w:b/>
                <w:sz w:val="21"/>
                <w:szCs w:val="21"/>
              </w:rPr>
              <w:t>For additional forms submitted for approval, please list each here by form number.  Each of these must comply with the requirements for officer signature, form number in the lower left corner of every page, descriptive title, company name, premium payment or fees (if applicable), and effective date (if not stated on schedule).  Please complete the fields below as indicated.</w:t>
            </w:r>
          </w:p>
        </w:tc>
      </w:tr>
      <w:tr w:rsidR="00B51FD0" w:rsidRPr="00A0019E" w14:paraId="0355896A" w14:textId="77777777" w:rsidTr="004E37F5">
        <w:tc>
          <w:tcPr>
            <w:tcW w:w="1165" w:type="dxa"/>
            <w:shd w:val="clear" w:color="auto" w:fill="FFFFFF" w:themeFill="background1"/>
          </w:tcPr>
          <w:p w14:paraId="56D2B4B4" w14:textId="77777777" w:rsidR="00F261CF" w:rsidRPr="00A0019E" w:rsidRDefault="00F261CF" w:rsidP="00F261CF">
            <w:pPr>
              <w:rPr>
                <w:sz w:val="21"/>
                <w:szCs w:val="21"/>
              </w:rPr>
            </w:pPr>
          </w:p>
        </w:tc>
        <w:tc>
          <w:tcPr>
            <w:tcW w:w="2086" w:type="dxa"/>
            <w:shd w:val="clear" w:color="auto" w:fill="FFFFFF" w:themeFill="background1"/>
          </w:tcPr>
          <w:p w14:paraId="6C6B4218" w14:textId="77777777" w:rsidR="00F261CF" w:rsidRPr="00A0019E" w:rsidRDefault="00F261CF" w:rsidP="00F261CF">
            <w:pPr>
              <w:rPr>
                <w:sz w:val="21"/>
                <w:szCs w:val="21"/>
              </w:rPr>
            </w:pPr>
            <w:r w:rsidRPr="00A0019E">
              <w:rPr>
                <w:sz w:val="21"/>
                <w:szCs w:val="21"/>
              </w:rPr>
              <w:t>Title of document</w:t>
            </w:r>
          </w:p>
        </w:tc>
        <w:tc>
          <w:tcPr>
            <w:tcW w:w="1514" w:type="dxa"/>
            <w:shd w:val="clear" w:color="auto" w:fill="FFFFFF" w:themeFill="background1"/>
          </w:tcPr>
          <w:p w14:paraId="69D3715A" w14:textId="77777777" w:rsidR="00F261CF" w:rsidRPr="00A0019E" w:rsidRDefault="00F261CF" w:rsidP="00F261CF">
            <w:pPr>
              <w:rPr>
                <w:rStyle w:val="Hyperlink"/>
                <w:rFonts w:cstheme="minorHAnsi"/>
                <w:color w:val="auto"/>
                <w:sz w:val="21"/>
                <w:szCs w:val="21"/>
                <w:u w:val="none"/>
              </w:rPr>
            </w:pPr>
            <w:r w:rsidRPr="00A0019E">
              <w:rPr>
                <w:rStyle w:val="Hyperlink"/>
                <w:rFonts w:cstheme="minorHAnsi"/>
                <w:color w:val="auto"/>
                <w:sz w:val="21"/>
                <w:szCs w:val="21"/>
                <w:u w:val="none"/>
              </w:rPr>
              <w:t>Form number</w:t>
            </w:r>
          </w:p>
        </w:tc>
        <w:tc>
          <w:tcPr>
            <w:tcW w:w="3209" w:type="dxa"/>
            <w:shd w:val="clear" w:color="auto" w:fill="FFFFFF" w:themeFill="background1"/>
          </w:tcPr>
          <w:p w14:paraId="6FB0736B" w14:textId="77777777" w:rsidR="00F261CF" w:rsidRPr="00A0019E" w:rsidRDefault="00F261CF" w:rsidP="00F261CF">
            <w:pPr>
              <w:rPr>
                <w:rFonts w:cstheme="minorHAnsi"/>
                <w:sz w:val="21"/>
                <w:szCs w:val="21"/>
              </w:rPr>
            </w:pPr>
            <w:r w:rsidRPr="00A0019E">
              <w:rPr>
                <w:rFonts w:cstheme="minorHAnsi"/>
                <w:sz w:val="21"/>
                <w:szCs w:val="21"/>
              </w:rPr>
              <w:t>Reference to SERFF filing for previous approval, if applicable</w:t>
            </w:r>
          </w:p>
        </w:tc>
        <w:tc>
          <w:tcPr>
            <w:tcW w:w="1376" w:type="dxa"/>
            <w:shd w:val="clear" w:color="auto" w:fill="FFFFFF" w:themeFill="background1"/>
          </w:tcPr>
          <w:p w14:paraId="5F48B506" w14:textId="77777777" w:rsidR="00F261CF" w:rsidRPr="00A0019E" w:rsidRDefault="00F261CF" w:rsidP="00F261CF">
            <w:pPr>
              <w:rPr>
                <w:sz w:val="21"/>
                <w:szCs w:val="21"/>
              </w:rPr>
            </w:pPr>
            <w:r w:rsidRPr="00A0019E">
              <w:rPr>
                <w:sz w:val="21"/>
                <w:szCs w:val="21"/>
              </w:rPr>
              <w:t>N/A if any of the listed requirements do not apply</w:t>
            </w:r>
          </w:p>
        </w:tc>
      </w:tr>
      <w:tr w:rsidR="00B51FD0" w:rsidRPr="00A0019E" w14:paraId="54ADC308" w14:textId="77777777" w:rsidTr="004E37F5">
        <w:tc>
          <w:tcPr>
            <w:tcW w:w="1165" w:type="dxa"/>
            <w:shd w:val="clear" w:color="auto" w:fill="FFFFFF" w:themeFill="background1"/>
          </w:tcPr>
          <w:p w14:paraId="03856002" w14:textId="77777777" w:rsidR="00F261CF" w:rsidRPr="00A0019E" w:rsidRDefault="00F261CF" w:rsidP="00F261CF">
            <w:pPr>
              <w:rPr>
                <w:sz w:val="21"/>
                <w:szCs w:val="21"/>
              </w:rPr>
            </w:pPr>
            <w:r w:rsidRPr="00A0019E">
              <w:rPr>
                <w:sz w:val="21"/>
                <w:szCs w:val="21"/>
              </w:rPr>
              <w:sym w:font="Wingdings" w:char="F06F"/>
            </w:r>
          </w:p>
        </w:tc>
        <w:tc>
          <w:tcPr>
            <w:tcW w:w="2086" w:type="dxa"/>
            <w:shd w:val="clear" w:color="auto" w:fill="FFFFFF" w:themeFill="background1"/>
          </w:tcPr>
          <w:p w14:paraId="2EC0DE8E" w14:textId="77777777" w:rsidR="00F261CF" w:rsidRPr="00A0019E" w:rsidRDefault="00F261CF" w:rsidP="00F261CF">
            <w:pPr>
              <w:rPr>
                <w:sz w:val="21"/>
                <w:szCs w:val="21"/>
              </w:rPr>
            </w:pPr>
          </w:p>
        </w:tc>
        <w:tc>
          <w:tcPr>
            <w:tcW w:w="1514" w:type="dxa"/>
            <w:shd w:val="clear" w:color="auto" w:fill="FFFFFF" w:themeFill="background1"/>
          </w:tcPr>
          <w:p w14:paraId="3826BF69" w14:textId="77777777" w:rsidR="00F261CF" w:rsidRPr="00A0019E" w:rsidRDefault="00F261CF" w:rsidP="00F261CF">
            <w:pPr>
              <w:rPr>
                <w:rStyle w:val="Hyperlink"/>
                <w:rFonts w:cstheme="minorHAnsi"/>
                <w:sz w:val="21"/>
                <w:szCs w:val="21"/>
              </w:rPr>
            </w:pPr>
          </w:p>
        </w:tc>
        <w:tc>
          <w:tcPr>
            <w:tcW w:w="3209" w:type="dxa"/>
            <w:shd w:val="clear" w:color="auto" w:fill="FFFFFF" w:themeFill="background1"/>
          </w:tcPr>
          <w:p w14:paraId="4189E01C" w14:textId="77777777" w:rsidR="00F261CF" w:rsidRPr="00A0019E" w:rsidRDefault="00F261CF" w:rsidP="00F261CF">
            <w:pPr>
              <w:rPr>
                <w:rFonts w:cstheme="minorHAnsi"/>
                <w:sz w:val="21"/>
                <w:szCs w:val="21"/>
              </w:rPr>
            </w:pPr>
          </w:p>
        </w:tc>
        <w:tc>
          <w:tcPr>
            <w:tcW w:w="1376" w:type="dxa"/>
            <w:shd w:val="clear" w:color="auto" w:fill="FFFFFF" w:themeFill="background1"/>
          </w:tcPr>
          <w:p w14:paraId="61675827" w14:textId="77777777" w:rsidR="00F261CF" w:rsidRPr="00A0019E" w:rsidRDefault="00F261CF" w:rsidP="00F261CF">
            <w:pPr>
              <w:rPr>
                <w:sz w:val="21"/>
                <w:szCs w:val="21"/>
              </w:rPr>
            </w:pPr>
          </w:p>
        </w:tc>
      </w:tr>
      <w:tr w:rsidR="00B51FD0" w:rsidRPr="00A0019E" w14:paraId="0B06F608" w14:textId="77777777" w:rsidTr="004E37F5">
        <w:tc>
          <w:tcPr>
            <w:tcW w:w="1165" w:type="dxa"/>
            <w:shd w:val="clear" w:color="auto" w:fill="FFFFFF" w:themeFill="background1"/>
          </w:tcPr>
          <w:p w14:paraId="291FF535" w14:textId="77777777" w:rsidR="00F261CF" w:rsidRPr="00A0019E" w:rsidRDefault="00F261CF" w:rsidP="00F261CF">
            <w:pPr>
              <w:rPr>
                <w:sz w:val="21"/>
                <w:szCs w:val="21"/>
              </w:rPr>
            </w:pPr>
            <w:r w:rsidRPr="00A0019E">
              <w:rPr>
                <w:sz w:val="21"/>
                <w:szCs w:val="21"/>
              </w:rPr>
              <w:sym w:font="Wingdings" w:char="F06F"/>
            </w:r>
          </w:p>
        </w:tc>
        <w:tc>
          <w:tcPr>
            <w:tcW w:w="2086" w:type="dxa"/>
            <w:shd w:val="clear" w:color="auto" w:fill="FFFFFF" w:themeFill="background1"/>
          </w:tcPr>
          <w:p w14:paraId="4A0EA9ED" w14:textId="77777777" w:rsidR="00F261CF" w:rsidRPr="00A0019E" w:rsidRDefault="00F261CF" w:rsidP="00F261CF">
            <w:pPr>
              <w:rPr>
                <w:sz w:val="21"/>
                <w:szCs w:val="21"/>
              </w:rPr>
            </w:pPr>
          </w:p>
        </w:tc>
        <w:tc>
          <w:tcPr>
            <w:tcW w:w="1514" w:type="dxa"/>
            <w:shd w:val="clear" w:color="auto" w:fill="FFFFFF" w:themeFill="background1"/>
          </w:tcPr>
          <w:p w14:paraId="2F99C15D" w14:textId="77777777" w:rsidR="00F261CF" w:rsidRPr="00A0019E" w:rsidRDefault="00F261CF" w:rsidP="00F261CF">
            <w:pPr>
              <w:rPr>
                <w:rStyle w:val="Hyperlink"/>
                <w:rFonts w:cstheme="minorHAnsi"/>
                <w:sz w:val="21"/>
                <w:szCs w:val="21"/>
              </w:rPr>
            </w:pPr>
          </w:p>
        </w:tc>
        <w:tc>
          <w:tcPr>
            <w:tcW w:w="3209" w:type="dxa"/>
            <w:shd w:val="clear" w:color="auto" w:fill="FFFFFF" w:themeFill="background1"/>
          </w:tcPr>
          <w:p w14:paraId="389BE593" w14:textId="77777777" w:rsidR="00F261CF" w:rsidRPr="00A0019E" w:rsidRDefault="00F261CF" w:rsidP="00F261CF">
            <w:pPr>
              <w:rPr>
                <w:rFonts w:cstheme="minorHAnsi"/>
                <w:sz w:val="21"/>
                <w:szCs w:val="21"/>
              </w:rPr>
            </w:pPr>
          </w:p>
        </w:tc>
        <w:tc>
          <w:tcPr>
            <w:tcW w:w="1376" w:type="dxa"/>
            <w:shd w:val="clear" w:color="auto" w:fill="FFFFFF" w:themeFill="background1"/>
          </w:tcPr>
          <w:p w14:paraId="4FC31B9B" w14:textId="77777777" w:rsidR="00F261CF" w:rsidRPr="00A0019E" w:rsidRDefault="00F261CF" w:rsidP="00F261CF">
            <w:pPr>
              <w:rPr>
                <w:sz w:val="21"/>
                <w:szCs w:val="21"/>
              </w:rPr>
            </w:pPr>
          </w:p>
        </w:tc>
      </w:tr>
      <w:tr w:rsidR="00B51FD0" w:rsidRPr="00A0019E" w14:paraId="4B393E07" w14:textId="77777777" w:rsidTr="004E37F5">
        <w:tc>
          <w:tcPr>
            <w:tcW w:w="1165" w:type="dxa"/>
            <w:shd w:val="clear" w:color="auto" w:fill="FFFFFF" w:themeFill="background1"/>
          </w:tcPr>
          <w:p w14:paraId="251959E3" w14:textId="77777777" w:rsidR="00F261CF" w:rsidRPr="00A0019E" w:rsidRDefault="00F261CF" w:rsidP="00F261CF">
            <w:pPr>
              <w:rPr>
                <w:sz w:val="21"/>
                <w:szCs w:val="21"/>
              </w:rPr>
            </w:pPr>
            <w:r w:rsidRPr="00A0019E">
              <w:rPr>
                <w:sz w:val="21"/>
                <w:szCs w:val="21"/>
              </w:rPr>
              <w:sym w:font="Wingdings" w:char="F06F"/>
            </w:r>
          </w:p>
        </w:tc>
        <w:tc>
          <w:tcPr>
            <w:tcW w:w="2086" w:type="dxa"/>
            <w:shd w:val="clear" w:color="auto" w:fill="FFFFFF" w:themeFill="background1"/>
          </w:tcPr>
          <w:p w14:paraId="589A3028" w14:textId="77777777" w:rsidR="00F261CF" w:rsidRPr="00A0019E" w:rsidRDefault="00F261CF" w:rsidP="00F261CF">
            <w:pPr>
              <w:rPr>
                <w:sz w:val="21"/>
                <w:szCs w:val="21"/>
              </w:rPr>
            </w:pPr>
          </w:p>
        </w:tc>
        <w:tc>
          <w:tcPr>
            <w:tcW w:w="1514" w:type="dxa"/>
            <w:shd w:val="clear" w:color="auto" w:fill="FFFFFF" w:themeFill="background1"/>
          </w:tcPr>
          <w:p w14:paraId="2E364E71" w14:textId="77777777" w:rsidR="00F261CF" w:rsidRPr="00A0019E" w:rsidRDefault="00F261CF" w:rsidP="00F261CF">
            <w:pPr>
              <w:rPr>
                <w:rStyle w:val="Hyperlink"/>
                <w:rFonts w:cstheme="minorHAnsi"/>
                <w:sz w:val="21"/>
                <w:szCs w:val="21"/>
              </w:rPr>
            </w:pPr>
          </w:p>
        </w:tc>
        <w:tc>
          <w:tcPr>
            <w:tcW w:w="3209" w:type="dxa"/>
            <w:shd w:val="clear" w:color="auto" w:fill="FFFFFF" w:themeFill="background1"/>
          </w:tcPr>
          <w:p w14:paraId="746C0BB5" w14:textId="77777777" w:rsidR="00F261CF" w:rsidRPr="00A0019E" w:rsidRDefault="00F261CF" w:rsidP="00F261CF">
            <w:pPr>
              <w:rPr>
                <w:rFonts w:cstheme="minorHAnsi"/>
                <w:sz w:val="21"/>
                <w:szCs w:val="21"/>
              </w:rPr>
            </w:pPr>
          </w:p>
        </w:tc>
        <w:tc>
          <w:tcPr>
            <w:tcW w:w="1376" w:type="dxa"/>
            <w:shd w:val="clear" w:color="auto" w:fill="FFFFFF" w:themeFill="background1"/>
          </w:tcPr>
          <w:p w14:paraId="700A039B" w14:textId="77777777" w:rsidR="00F261CF" w:rsidRPr="00A0019E" w:rsidRDefault="00F261CF" w:rsidP="00F261CF">
            <w:pPr>
              <w:rPr>
                <w:sz w:val="21"/>
                <w:szCs w:val="21"/>
              </w:rPr>
            </w:pPr>
          </w:p>
        </w:tc>
      </w:tr>
      <w:tr w:rsidR="00B51FD0" w:rsidRPr="00A0019E" w14:paraId="21A6E8EF" w14:textId="77777777" w:rsidTr="004E37F5">
        <w:tc>
          <w:tcPr>
            <w:tcW w:w="1165" w:type="dxa"/>
            <w:shd w:val="clear" w:color="auto" w:fill="FFFFFF" w:themeFill="background1"/>
          </w:tcPr>
          <w:p w14:paraId="6E0D81F5" w14:textId="77777777" w:rsidR="00F261CF" w:rsidRPr="00A0019E" w:rsidRDefault="00F261CF" w:rsidP="00F261CF">
            <w:pPr>
              <w:rPr>
                <w:sz w:val="21"/>
                <w:szCs w:val="21"/>
              </w:rPr>
            </w:pPr>
            <w:r w:rsidRPr="00A0019E">
              <w:rPr>
                <w:sz w:val="21"/>
                <w:szCs w:val="21"/>
              </w:rPr>
              <w:sym w:font="Wingdings" w:char="F06F"/>
            </w:r>
          </w:p>
        </w:tc>
        <w:tc>
          <w:tcPr>
            <w:tcW w:w="2086" w:type="dxa"/>
            <w:shd w:val="clear" w:color="auto" w:fill="FFFFFF" w:themeFill="background1"/>
          </w:tcPr>
          <w:p w14:paraId="173F9808" w14:textId="77777777" w:rsidR="00F261CF" w:rsidRPr="00A0019E" w:rsidRDefault="00F261CF" w:rsidP="00F261CF">
            <w:pPr>
              <w:rPr>
                <w:sz w:val="21"/>
                <w:szCs w:val="21"/>
              </w:rPr>
            </w:pPr>
          </w:p>
        </w:tc>
        <w:tc>
          <w:tcPr>
            <w:tcW w:w="1514" w:type="dxa"/>
            <w:shd w:val="clear" w:color="auto" w:fill="FFFFFF" w:themeFill="background1"/>
          </w:tcPr>
          <w:p w14:paraId="7DB8207A" w14:textId="77777777" w:rsidR="00F261CF" w:rsidRPr="00A0019E" w:rsidRDefault="00F261CF" w:rsidP="00F261CF">
            <w:pPr>
              <w:rPr>
                <w:rStyle w:val="Hyperlink"/>
                <w:rFonts w:cstheme="minorHAnsi"/>
                <w:sz w:val="21"/>
                <w:szCs w:val="21"/>
              </w:rPr>
            </w:pPr>
          </w:p>
        </w:tc>
        <w:tc>
          <w:tcPr>
            <w:tcW w:w="3209" w:type="dxa"/>
            <w:shd w:val="clear" w:color="auto" w:fill="FFFFFF" w:themeFill="background1"/>
          </w:tcPr>
          <w:p w14:paraId="1BC2E3A8" w14:textId="77777777" w:rsidR="00F261CF" w:rsidRPr="00A0019E" w:rsidRDefault="00F261CF" w:rsidP="00F261CF">
            <w:pPr>
              <w:rPr>
                <w:rFonts w:cstheme="minorHAnsi"/>
                <w:sz w:val="21"/>
                <w:szCs w:val="21"/>
              </w:rPr>
            </w:pPr>
          </w:p>
        </w:tc>
        <w:tc>
          <w:tcPr>
            <w:tcW w:w="1376" w:type="dxa"/>
            <w:shd w:val="clear" w:color="auto" w:fill="FFFFFF" w:themeFill="background1"/>
          </w:tcPr>
          <w:p w14:paraId="1EA456E9" w14:textId="77777777" w:rsidR="00F261CF" w:rsidRPr="00A0019E" w:rsidRDefault="00F261CF" w:rsidP="00F261CF">
            <w:pPr>
              <w:rPr>
                <w:sz w:val="21"/>
                <w:szCs w:val="21"/>
              </w:rPr>
            </w:pPr>
          </w:p>
        </w:tc>
      </w:tr>
      <w:tr w:rsidR="00F261CF" w:rsidRPr="00A0019E" w14:paraId="24EE592E" w14:textId="77777777" w:rsidTr="00283435">
        <w:tc>
          <w:tcPr>
            <w:tcW w:w="1165" w:type="dxa"/>
            <w:shd w:val="clear" w:color="auto" w:fill="E7E6E6" w:themeFill="background2"/>
          </w:tcPr>
          <w:p w14:paraId="1B42ECD2" w14:textId="77777777" w:rsidR="00F261CF" w:rsidRPr="00A0019E" w:rsidRDefault="00F261CF" w:rsidP="00F261CF">
            <w:pPr>
              <w:rPr>
                <w:sz w:val="21"/>
                <w:szCs w:val="21"/>
              </w:rPr>
            </w:pPr>
          </w:p>
        </w:tc>
        <w:tc>
          <w:tcPr>
            <w:tcW w:w="8185" w:type="dxa"/>
            <w:gridSpan w:val="4"/>
            <w:shd w:val="clear" w:color="auto" w:fill="E7E6E6" w:themeFill="background2"/>
          </w:tcPr>
          <w:p w14:paraId="7183FF84" w14:textId="77777777" w:rsidR="00F261CF" w:rsidRPr="00A0019E" w:rsidRDefault="00F261CF" w:rsidP="00F261CF">
            <w:pPr>
              <w:rPr>
                <w:b/>
                <w:sz w:val="21"/>
                <w:szCs w:val="21"/>
              </w:rPr>
            </w:pPr>
            <w:r w:rsidRPr="00A0019E">
              <w:rPr>
                <w:sz w:val="21"/>
                <w:szCs w:val="21"/>
              </w:rPr>
              <w:br w:type="page"/>
            </w:r>
            <w:r w:rsidRPr="00A0019E">
              <w:rPr>
                <w:b/>
                <w:sz w:val="21"/>
                <w:szCs w:val="21"/>
              </w:rPr>
              <w:t>SUPPORTING DOCUMENTS REQUIRED</w:t>
            </w:r>
          </w:p>
          <w:p w14:paraId="6FEE52E0" w14:textId="77777777" w:rsidR="00F261CF" w:rsidRPr="00A0019E" w:rsidRDefault="00F261CF" w:rsidP="00F261CF">
            <w:pPr>
              <w:rPr>
                <w:sz w:val="21"/>
                <w:szCs w:val="21"/>
              </w:rPr>
            </w:pPr>
            <w:r w:rsidRPr="00A0019E">
              <w:rPr>
                <w:b/>
                <w:sz w:val="21"/>
                <w:szCs w:val="21"/>
              </w:rPr>
              <w:t>Reference name of separate document in right column.</w:t>
            </w:r>
          </w:p>
        </w:tc>
      </w:tr>
      <w:tr w:rsidR="00F261CF" w:rsidRPr="00A0019E" w14:paraId="5B3477BC" w14:textId="77777777" w:rsidTr="004E37F5">
        <w:tc>
          <w:tcPr>
            <w:tcW w:w="1165" w:type="dxa"/>
          </w:tcPr>
          <w:p w14:paraId="66E012A6" w14:textId="77777777" w:rsidR="00F261CF" w:rsidRPr="00A0019E" w:rsidRDefault="00F261CF" w:rsidP="00F261CF">
            <w:pPr>
              <w:rPr>
                <w:sz w:val="21"/>
                <w:szCs w:val="21"/>
              </w:rPr>
            </w:pPr>
            <w:r w:rsidRPr="00A0019E">
              <w:rPr>
                <w:sz w:val="21"/>
                <w:szCs w:val="21"/>
              </w:rPr>
              <w:sym w:font="Wingdings" w:char="F06F"/>
            </w:r>
          </w:p>
        </w:tc>
        <w:tc>
          <w:tcPr>
            <w:tcW w:w="2086" w:type="dxa"/>
          </w:tcPr>
          <w:p w14:paraId="3D385B72" w14:textId="77777777" w:rsidR="00F261CF" w:rsidRPr="00A0019E" w:rsidRDefault="00F261CF" w:rsidP="00F261CF">
            <w:pPr>
              <w:rPr>
                <w:sz w:val="21"/>
                <w:szCs w:val="21"/>
              </w:rPr>
            </w:pPr>
            <w:r>
              <w:rPr>
                <w:sz w:val="21"/>
                <w:szCs w:val="21"/>
              </w:rPr>
              <w:t>Plan of Operation</w:t>
            </w:r>
          </w:p>
        </w:tc>
        <w:tc>
          <w:tcPr>
            <w:tcW w:w="1514" w:type="dxa"/>
          </w:tcPr>
          <w:p w14:paraId="361908E5" w14:textId="77777777" w:rsidR="00F261CF" w:rsidRDefault="00DB645B" w:rsidP="00F261CF">
            <w:hyperlink r:id="rId33" w:history="1">
              <w:r w:rsidR="00F261CF">
                <w:rPr>
                  <w:rStyle w:val="Hyperlink"/>
                  <w:sz w:val="21"/>
                  <w:szCs w:val="21"/>
                </w:rPr>
                <w:t>NAIC</w:t>
              </w:r>
            </w:hyperlink>
            <w:r w:rsidR="00F261CF">
              <w:rPr>
                <w:rStyle w:val="Hyperlink"/>
                <w:sz w:val="21"/>
                <w:szCs w:val="21"/>
              </w:rPr>
              <w:t xml:space="preserve"> Model 200 § 6B(3)</w:t>
            </w:r>
          </w:p>
        </w:tc>
        <w:tc>
          <w:tcPr>
            <w:tcW w:w="3209" w:type="dxa"/>
          </w:tcPr>
          <w:p w14:paraId="797702EB" w14:textId="77777777" w:rsidR="00F261CF" w:rsidRPr="00A0019E" w:rsidRDefault="00F261CF" w:rsidP="00F261CF">
            <w:pPr>
              <w:rPr>
                <w:sz w:val="21"/>
                <w:szCs w:val="21"/>
              </w:rPr>
            </w:pPr>
            <w:r>
              <w:rPr>
                <w:sz w:val="21"/>
                <w:szCs w:val="21"/>
              </w:rPr>
              <w:t xml:space="preserve">Submit plan of operation or provide the SERFF Tracking number if previously filed and approved in Nebraska or in the issuer’s domicile state.  </w:t>
            </w:r>
          </w:p>
        </w:tc>
        <w:tc>
          <w:tcPr>
            <w:tcW w:w="1376" w:type="dxa"/>
          </w:tcPr>
          <w:p w14:paraId="65B7E762" w14:textId="77777777" w:rsidR="00F261CF" w:rsidRPr="00A0019E" w:rsidRDefault="00F261CF" w:rsidP="00F261CF">
            <w:pPr>
              <w:rPr>
                <w:sz w:val="21"/>
                <w:szCs w:val="21"/>
              </w:rPr>
            </w:pPr>
          </w:p>
        </w:tc>
      </w:tr>
      <w:tr w:rsidR="00B51FD0" w:rsidRPr="00A0019E" w14:paraId="69D426CC" w14:textId="77777777" w:rsidTr="004E37F5">
        <w:tc>
          <w:tcPr>
            <w:tcW w:w="1165" w:type="dxa"/>
          </w:tcPr>
          <w:p w14:paraId="06E25F09" w14:textId="77777777" w:rsidR="00F261CF" w:rsidRPr="00A0019E" w:rsidRDefault="00F261CF" w:rsidP="00F261CF">
            <w:pPr>
              <w:rPr>
                <w:sz w:val="21"/>
                <w:szCs w:val="21"/>
              </w:rPr>
            </w:pPr>
            <w:r w:rsidRPr="00A0019E">
              <w:rPr>
                <w:sz w:val="21"/>
                <w:szCs w:val="21"/>
              </w:rPr>
              <w:lastRenderedPageBreak/>
              <w:sym w:font="Wingdings" w:char="F06F"/>
            </w:r>
          </w:p>
        </w:tc>
        <w:tc>
          <w:tcPr>
            <w:tcW w:w="2086" w:type="dxa"/>
          </w:tcPr>
          <w:p w14:paraId="356499C9" w14:textId="77777777" w:rsidR="00F261CF" w:rsidRPr="00A0019E" w:rsidRDefault="00F261CF" w:rsidP="00F261CF">
            <w:pPr>
              <w:rPr>
                <w:sz w:val="21"/>
                <w:szCs w:val="21"/>
              </w:rPr>
            </w:pPr>
            <w:r w:rsidRPr="00A0019E">
              <w:rPr>
                <w:sz w:val="21"/>
                <w:szCs w:val="21"/>
              </w:rPr>
              <w:t xml:space="preserve">Actuarial </w:t>
            </w:r>
            <w:r w:rsidR="00B51FD0">
              <w:rPr>
                <w:sz w:val="21"/>
                <w:szCs w:val="21"/>
              </w:rPr>
              <w:t xml:space="preserve">opinion and supporting </w:t>
            </w:r>
            <w:r w:rsidRPr="00A0019E">
              <w:rPr>
                <w:sz w:val="21"/>
                <w:szCs w:val="21"/>
              </w:rPr>
              <w:t>memorandum</w:t>
            </w:r>
          </w:p>
        </w:tc>
        <w:tc>
          <w:tcPr>
            <w:tcW w:w="1514" w:type="dxa"/>
          </w:tcPr>
          <w:p w14:paraId="6F6C92BA" w14:textId="220D0554" w:rsidR="00F261CF" w:rsidRPr="00A0019E" w:rsidRDefault="00B51FD0" w:rsidP="00F261CF">
            <w:pPr>
              <w:rPr>
                <w:rStyle w:val="Hyperlink"/>
                <w:sz w:val="21"/>
                <w:szCs w:val="21"/>
              </w:rPr>
            </w:pPr>
            <w:r>
              <w:t>Neb. Rev. Stat. § 44-421</w:t>
            </w:r>
            <w:r w:rsidR="007D2A90">
              <w:t>, NAIC Model 200 § 10</w:t>
            </w:r>
            <w:r>
              <w:t xml:space="preserve"> and </w:t>
            </w:r>
            <w:hyperlink r:id="rId34" w:history="1">
              <w:r w:rsidR="00F261CF">
                <w:rPr>
                  <w:rStyle w:val="Hyperlink"/>
                  <w:sz w:val="21"/>
                  <w:szCs w:val="21"/>
                </w:rPr>
                <w:t>210 NAC Ch. 69</w:t>
              </w:r>
            </w:hyperlink>
          </w:p>
          <w:p w14:paraId="3345DA30" w14:textId="3B5E7A4B" w:rsidR="00F261CF" w:rsidRPr="00A0019E" w:rsidRDefault="00F261CF" w:rsidP="00F261CF">
            <w:pPr>
              <w:rPr>
                <w:sz w:val="21"/>
                <w:szCs w:val="21"/>
              </w:rPr>
            </w:pPr>
          </w:p>
        </w:tc>
        <w:tc>
          <w:tcPr>
            <w:tcW w:w="3209" w:type="dxa"/>
          </w:tcPr>
          <w:p w14:paraId="19D03D94" w14:textId="32866185" w:rsidR="00F261CF" w:rsidRDefault="00B51FD0" w:rsidP="00F261CF">
            <w:pPr>
              <w:rPr>
                <w:sz w:val="21"/>
                <w:szCs w:val="21"/>
              </w:rPr>
            </w:pPr>
            <w:r>
              <w:rPr>
                <w:sz w:val="21"/>
                <w:szCs w:val="21"/>
              </w:rPr>
              <w:t xml:space="preserve">Every life insurer doing business in Nebraska must annually submit an actuarial opinion.   </w:t>
            </w:r>
            <w:r w:rsidR="00F261CF" w:rsidRPr="00A0019E">
              <w:rPr>
                <w:sz w:val="21"/>
                <w:szCs w:val="21"/>
              </w:rPr>
              <w:t xml:space="preserve">Must be dated and signed by Actuary. </w:t>
            </w:r>
          </w:p>
          <w:p w14:paraId="07B0455D" w14:textId="77777777" w:rsidR="00F261CF" w:rsidRDefault="00F261CF" w:rsidP="00F261CF">
            <w:pPr>
              <w:rPr>
                <w:sz w:val="21"/>
                <w:szCs w:val="21"/>
              </w:rPr>
            </w:pPr>
            <w:r>
              <w:rPr>
                <w:sz w:val="21"/>
                <w:szCs w:val="21"/>
              </w:rPr>
              <w:t>Neb. Rev. Stat. § 44-4</w:t>
            </w:r>
            <w:r w:rsidR="00A55036">
              <w:rPr>
                <w:sz w:val="21"/>
                <w:szCs w:val="21"/>
              </w:rPr>
              <w:t>25 and Model 200 § 10B allow</w:t>
            </w:r>
            <w:r w:rsidR="008F2CE3">
              <w:rPr>
                <w:sz w:val="21"/>
                <w:szCs w:val="21"/>
              </w:rPr>
              <w:t>s</w:t>
            </w:r>
            <w:r w:rsidR="00B51FD0">
              <w:rPr>
                <w:sz w:val="21"/>
                <w:szCs w:val="21"/>
              </w:rPr>
              <w:t xml:space="preserve"> the supporting memorandum </w:t>
            </w:r>
            <w:r>
              <w:rPr>
                <w:sz w:val="21"/>
                <w:szCs w:val="21"/>
              </w:rPr>
              <w:t>to be marked confidential.</w:t>
            </w:r>
          </w:p>
          <w:p w14:paraId="64D71DF2" w14:textId="49E09434" w:rsidR="008F2CE3" w:rsidRPr="00A0019E" w:rsidRDefault="008F2CE3" w:rsidP="00F261CF">
            <w:pPr>
              <w:rPr>
                <w:sz w:val="21"/>
                <w:szCs w:val="21"/>
              </w:rPr>
            </w:pPr>
            <w:r>
              <w:rPr>
                <w:sz w:val="21"/>
                <w:szCs w:val="21"/>
              </w:rPr>
              <w:t>For companies domiciled in another state, please provide the last date on which the insurer submitted its annual actuarial opinion and supporting memorandum. (Model 200 § 10)</w:t>
            </w:r>
          </w:p>
        </w:tc>
        <w:tc>
          <w:tcPr>
            <w:tcW w:w="1376" w:type="dxa"/>
          </w:tcPr>
          <w:p w14:paraId="2BA4BC2F" w14:textId="77777777" w:rsidR="00F261CF" w:rsidRPr="00A0019E" w:rsidRDefault="00F261CF" w:rsidP="00F261CF">
            <w:pPr>
              <w:rPr>
                <w:sz w:val="21"/>
                <w:szCs w:val="21"/>
              </w:rPr>
            </w:pPr>
          </w:p>
        </w:tc>
      </w:tr>
      <w:tr w:rsidR="00B51FD0" w:rsidRPr="00A0019E" w14:paraId="1AD095AA" w14:textId="77777777" w:rsidTr="004E37F5">
        <w:tc>
          <w:tcPr>
            <w:tcW w:w="1165" w:type="dxa"/>
          </w:tcPr>
          <w:p w14:paraId="0AE14424" w14:textId="77777777" w:rsidR="00F261CF" w:rsidRPr="00A0019E" w:rsidRDefault="00F261CF" w:rsidP="00F261CF">
            <w:pPr>
              <w:rPr>
                <w:sz w:val="21"/>
                <w:szCs w:val="21"/>
              </w:rPr>
            </w:pPr>
            <w:r w:rsidRPr="00A0019E">
              <w:rPr>
                <w:sz w:val="21"/>
                <w:szCs w:val="21"/>
              </w:rPr>
              <w:sym w:font="Wingdings" w:char="F06F"/>
            </w:r>
          </w:p>
        </w:tc>
        <w:tc>
          <w:tcPr>
            <w:tcW w:w="2086" w:type="dxa"/>
          </w:tcPr>
          <w:p w14:paraId="7EFFDF5B" w14:textId="77777777" w:rsidR="00F261CF" w:rsidRPr="00A0019E" w:rsidRDefault="00F261CF" w:rsidP="00F261CF">
            <w:pPr>
              <w:rPr>
                <w:sz w:val="21"/>
                <w:szCs w:val="21"/>
              </w:rPr>
            </w:pPr>
            <w:r w:rsidRPr="00A0019E">
              <w:rPr>
                <w:sz w:val="21"/>
                <w:szCs w:val="21"/>
              </w:rPr>
              <w:t>Flesch /readability certification</w:t>
            </w:r>
          </w:p>
        </w:tc>
        <w:tc>
          <w:tcPr>
            <w:tcW w:w="1514" w:type="dxa"/>
          </w:tcPr>
          <w:p w14:paraId="3928B4CC" w14:textId="77777777" w:rsidR="00F261CF" w:rsidRPr="00A0019E" w:rsidRDefault="00DB645B" w:rsidP="00F261CF">
            <w:pPr>
              <w:rPr>
                <w:rStyle w:val="Hyperlink"/>
                <w:sz w:val="21"/>
                <w:szCs w:val="21"/>
              </w:rPr>
            </w:pPr>
            <w:hyperlink r:id="rId35" w:history="1">
              <w:r w:rsidR="00F261CF" w:rsidRPr="00A0019E">
                <w:rPr>
                  <w:rStyle w:val="Hyperlink"/>
                  <w:sz w:val="21"/>
                  <w:szCs w:val="21"/>
                </w:rPr>
                <w:t>§ 44-3405</w:t>
              </w:r>
            </w:hyperlink>
          </w:p>
          <w:p w14:paraId="69ACD0FF" w14:textId="77777777" w:rsidR="00F261CF" w:rsidRPr="00A0019E" w:rsidRDefault="00F261CF" w:rsidP="00F261CF">
            <w:pPr>
              <w:rPr>
                <w:sz w:val="21"/>
                <w:szCs w:val="21"/>
              </w:rPr>
            </w:pPr>
            <w:r w:rsidRPr="00A0019E">
              <w:rPr>
                <w:rStyle w:val="Hyperlink"/>
                <w:color w:val="auto"/>
                <w:sz w:val="21"/>
                <w:szCs w:val="21"/>
                <w:u w:val="none"/>
              </w:rPr>
              <w:t>NE Filing Requirement</w:t>
            </w:r>
          </w:p>
        </w:tc>
        <w:tc>
          <w:tcPr>
            <w:tcW w:w="3209" w:type="dxa"/>
          </w:tcPr>
          <w:p w14:paraId="25DAAD24" w14:textId="77777777" w:rsidR="00F261CF" w:rsidRPr="00A0019E" w:rsidRDefault="00F261CF" w:rsidP="00F261CF">
            <w:pPr>
              <w:rPr>
                <w:sz w:val="21"/>
                <w:szCs w:val="21"/>
              </w:rPr>
            </w:pPr>
            <w:r w:rsidRPr="00A0019E">
              <w:rPr>
                <w:sz w:val="21"/>
                <w:szCs w:val="21"/>
              </w:rPr>
              <w:t xml:space="preserve">Minimum score of 40. </w:t>
            </w:r>
          </w:p>
          <w:p w14:paraId="51310423" w14:textId="77777777" w:rsidR="00F261CF" w:rsidRDefault="00F261CF" w:rsidP="00F261CF">
            <w:pPr>
              <w:rPr>
                <w:rStyle w:val="Hyperlink"/>
                <w:b/>
                <w:sz w:val="21"/>
                <w:szCs w:val="21"/>
              </w:rPr>
            </w:pPr>
            <w:r w:rsidRPr="000A1182">
              <w:rPr>
                <w:b/>
                <w:sz w:val="21"/>
                <w:szCs w:val="21"/>
              </w:rPr>
              <w:t xml:space="preserve">Exemption at </w:t>
            </w:r>
            <w:hyperlink r:id="rId36" w:history="1">
              <w:r w:rsidRPr="000A1182">
                <w:rPr>
                  <w:rStyle w:val="Hyperlink"/>
                  <w:b/>
                  <w:sz w:val="21"/>
                  <w:szCs w:val="21"/>
                </w:rPr>
                <w:t>§ 44-3404</w:t>
              </w:r>
            </w:hyperlink>
          </w:p>
          <w:p w14:paraId="6078862F" w14:textId="77777777" w:rsidR="00F261CF" w:rsidRPr="000A1182" w:rsidRDefault="00F261CF" w:rsidP="00F261CF">
            <w:pPr>
              <w:rPr>
                <w:b/>
                <w:sz w:val="21"/>
                <w:szCs w:val="21"/>
              </w:rPr>
            </w:pPr>
            <w:r>
              <w:rPr>
                <w:b/>
                <w:sz w:val="21"/>
                <w:szCs w:val="21"/>
              </w:rPr>
              <w:t>*</w:t>
            </w:r>
            <w:r w:rsidRPr="00A64083">
              <w:rPr>
                <w:b/>
                <w:i/>
                <w:sz w:val="21"/>
                <w:szCs w:val="21"/>
              </w:rPr>
              <w:t>Federal Government Required Endorsements do not require Flesch score</w:t>
            </w:r>
            <w:r>
              <w:rPr>
                <w:b/>
                <w:sz w:val="21"/>
                <w:szCs w:val="21"/>
              </w:rPr>
              <w:t xml:space="preserve">. </w:t>
            </w:r>
          </w:p>
        </w:tc>
        <w:tc>
          <w:tcPr>
            <w:tcW w:w="1376" w:type="dxa"/>
          </w:tcPr>
          <w:p w14:paraId="0AC0A041" w14:textId="77777777" w:rsidR="00F261CF" w:rsidRPr="00A0019E" w:rsidRDefault="00F261CF" w:rsidP="00F261CF">
            <w:pPr>
              <w:rPr>
                <w:sz w:val="21"/>
                <w:szCs w:val="21"/>
              </w:rPr>
            </w:pPr>
          </w:p>
        </w:tc>
      </w:tr>
      <w:tr w:rsidR="00B51FD0" w:rsidRPr="00A0019E" w14:paraId="48F8ACEA" w14:textId="77777777" w:rsidTr="004E37F5">
        <w:tc>
          <w:tcPr>
            <w:tcW w:w="1165" w:type="dxa"/>
          </w:tcPr>
          <w:p w14:paraId="4F0A4923" w14:textId="77777777" w:rsidR="00F261CF" w:rsidRPr="00A0019E" w:rsidRDefault="00F261CF" w:rsidP="00F261CF">
            <w:pPr>
              <w:rPr>
                <w:sz w:val="21"/>
                <w:szCs w:val="21"/>
              </w:rPr>
            </w:pPr>
            <w:r w:rsidRPr="00A0019E">
              <w:rPr>
                <w:sz w:val="21"/>
                <w:szCs w:val="21"/>
              </w:rPr>
              <w:sym w:font="Wingdings" w:char="F06F"/>
            </w:r>
          </w:p>
        </w:tc>
        <w:tc>
          <w:tcPr>
            <w:tcW w:w="2086" w:type="dxa"/>
          </w:tcPr>
          <w:p w14:paraId="58A4AE43" w14:textId="77777777" w:rsidR="00F261CF" w:rsidRPr="00A0019E" w:rsidRDefault="00F261CF" w:rsidP="00F261CF">
            <w:pPr>
              <w:rPr>
                <w:sz w:val="21"/>
                <w:szCs w:val="21"/>
              </w:rPr>
            </w:pPr>
            <w:r w:rsidRPr="00A0019E">
              <w:rPr>
                <w:sz w:val="21"/>
                <w:szCs w:val="21"/>
              </w:rPr>
              <w:t xml:space="preserve">Redlined version </w:t>
            </w:r>
          </w:p>
        </w:tc>
        <w:tc>
          <w:tcPr>
            <w:tcW w:w="1514" w:type="dxa"/>
          </w:tcPr>
          <w:p w14:paraId="40BE256B" w14:textId="77777777" w:rsidR="00F261CF" w:rsidRPr="00A0019E" w:rsidRDefault="00F261CF" w:rsidP="00F261CF">
            <w:pPr>
              <w:rPr>
                <w:sz w:val="21"/>
                <w:szCs w:val="21"/>
              </w:rPr>
            </w:pPr>
            <w:r w:rsidRPr="00A0019E">
              <w:rPr>
                <w:rStyle w:val="Hyperlink"/>
                <w:color w:val="auto"/>
                <w:sz w:val="21"/>
                <w:szCs w:val="21"/>
                <w:u w:val="none"/>
              </w:rPr>
              <w:t>NE Filing Requirement</w:t>
            </w:r>
          </w:p>
        </w:tc>
        <w:tc>
          <w:tcPr>
            <w:tcW w:w="3209" w:type="dxa"/>
          </w:tcPr>
          <w:p w14:paraId="59AE54FC" w14:textId="77777777" w:rsidR="00F261CF" w:rsidRPr="00A0019E" w:rsidRDefault="00F261CF" w:rsidP="00F261CF">
            <w:pPr>
              <w:rPr>
                <w:sz w:val="21"/>
                <w:szCs w:val="21"/>
              </w:rPr>
            </w:pPr>
            <w:r w:rsidRPr="00A0019E">
              <w:rPr>
                <w:sz w:val="21"/>
                <w:szCs w:val="21"/>
              </w:rPr>
              <w:t xml:space="preserve">If replacing existing policy. </w:t>
            </w:r>
          </w:p>
        </w:tc>
        <w:tc>
          <w:tcPr>
            <w:tcW w:w="1376" w:type="dxa"/>
          </w:tcPr>
          <w:p w14:paraId="0FFF1C98" w14:textId="77777777" w:rsidR="00F261CF" w:rsidRPr="00A0019E" w:rsidRDefault="00F261CF" w:rsidP="00F261CF">
            <w:pPr>
              <w:rPr>
                <w:sz w:val="21"/>
                <w:szCs w:val="21"/>
              </w:rPr>
            </w:pPr>
          </w:p>
        </w:tc>
      </w:tr>
      <w:tr w:rsidR="00F261CF" w:rsidRPr="00A0019E" w14:paraId="44107F81" w14:textId="77777777" w:rsidTr="004E37F5">
        <w:tc>
          <w:tcPr>
            <w:tcW w:w="1165" w:type="dxa"/>
          </w:tcPr>
          <w:p w14:paraId="42DBD8A0" w14:textId="77777777" w:rsidR="00F261CF" w:rsidRPr="00A0019E" w:rsidDel="00283435" w:rsidRDefault="00F261CF" w:rsidP="00F261CF">
            <w:pPr>
              <w:rPr>
                <w:sz w:val="21"/>
                <w:szCs w:val="21"/>
              </w:rPr>
            </w:pPr>
            <w:r w:rsidRPr="00A0019E">
              <w:rPr>
                <w:sz w:val="21"/>
                <w:szCs w:val="21"/>
              </w:rPr>
              <w:sym w:font="Wingdings" w:char="F06F"/>
            </w:r>
          </w:p>
        </w:tc>
        <w:tc>
          <w:tcPr>
            <w:tcW w:w="2086" w:type="dxa"/>
          </w:tcPr>
          <w:p w14:paraId="07124B98" w14:textId="77777777" w:rsidR="00F261CF" w:rsidRPr="00A0019E" w:rsidDel="00283435" w:rsidRDefault="00F261CF" w:rsidP="00F261CF">
            <w:pPr>
              <w:rPr>
                <w:sz w:val="21"/>
                <w:szCs w:val="21"/>
              </w:rPr>
            </w:pPr>
            <w:r>
              <w:rPr>
                <w:sz w:val="21"/>
                <w:szCs w:val="21"/>
              </w:rPr>
              <w:t>Statement specifying range of variation</w:t>
            </w:r>
            <w:r w:rsidRPr="001A37E5">
              <w:rPr>
                <w:sz w:val="21"/>
                <w:szCs w:val="21"/>
              </w:rPr>
              <w:t xml:space="preserve"> </w:t>
            </w:r>
          </w:p>
        </w:tc>
        <w:tc>
          <w:tcPr>
            <w:tcW w:w="1514" w:type="dxa"/>
          </w:tcPr>
          <w:p w14:paraId="63EAB50C" w14:textId="77777777" w:rsidR="00F261CF" w:rsidRPr="00A0019E" w:rsidDel="00283435" w:rsidRDefault="00F261CF" w:rsidP="00F261CF">
            <w:pPr>
              <w:rPr>
                <w:rStyle w:val="Hyperlink"/>
                <w:color w:val="auto"/>
                <w:sz w:val="21"/>
                <w:szCs w:val="21"/>
                <w:u w:val="none"/>
              </w:rPr>
            </w:pPr>
            <w:r w:rsidRPr="009073FA">
              <w:rPr>
                <w:sz w:val="21"/>
                <w:szCs w:val="21"/>
              </w:rPr>
              <w:t xml:space="preserve">NAIC Model 200 </w:t>
            </w:r>
            <w:r>
              <w:rPr>
                <w:sz w:val="21"/>
                <w:szCs w:val="21"/>
              </w:rPr>
              <w:t>§</w:t>
            </w:r>
            <w:r w:rsidRPr="009073FA">
              <w:rPr>
                <w:sz w:val="21"/>
                <w:szCs w:val="21"/>
              </w:rPr>
              <w:t xml:space="preserve"> </w:t>
            </w:r>
            <w:r>
              <w:rPr>
                <w:sz w:val="21"/>
                <w:szCs w:val="21"/>
              </w:rPr>
              <w:t>6B(2)(a)</w:t>
            </w:r>
          </w:p>
        </w:tc>
        <w:tc>
          <w:tcPr>
            <w:tcW w:w="3209" w:type="dxa"/>
          </w:tcPr>
          <w:p w14:paraId="3E307B5B" w14:textId="77777777" w:rsidR="00F261CF" w:rsidRPr="00A0019E" w:rsidRDefault="00F261CF" w:rsidP="00F261CF">
            <w:pPr>
              <w:rPr>
                <w:sz w:val="21"/>
                <w:szCs w:val="21"/>
              </w:rPr>
            </w:pPr>
            <w:r>
              <w:rPr>
                <w:sz w:val="21"/>
                <w:szCs w:val="21"/>
              </w:rPr>
              <w:t>Statement accompanying contract, specifying the range of variation of variable contract provisions, if any that could have a material effect on the risk assumed by the insurer under the contract, including withdrawal methodology, crediting rate formula and termination events</w:t>
            </w:r>
          </w:p>
        </w:tc>
        <w:tc>
          <w:tcPr>
            <w:tcW w:w="1376" w:type="dxa"/>
          </w:tcPr>
          <w:p w14:paraId="64F91E69" w14:textId="77777777" w:rsidR="00F261CF" w:rsidRPr="00A0019E" w:rsidRDefault="00F261CF" w:rsidP="00F261CF">
            <w:pPr>
              <w:rPr>
                <w:sz w:val="21"/>
                <w:szCs w:val="21"/>
              </w:rPr>
            </w:pPr>
          </w:p>
        </w:tc>
      </w:tr>
      <w:tr w:rsidR="00F261CF" w:rsidRPr="00A0019E" w14:paraId="08E72B1E" w14:textId="77777777" w:rsidTr="004E37F5">
        <w:tc>
          <w:tcPr>
            <w:tcW w:w="1165" w:type="dxa"/>
          </w:tcPr>
          <w:p w14:paraId="47F85E24" w14:textId="77777777" w:rsidR="00F261CF" w:rsidRPr="00A0019E" w:rsidDel="00283435" w:rsidRDefault="00F261CF" w:rsidP="00F261CF">
            <w:pPr>
              <w:rPr>
                <w:sz w:val="21"/>
                <w:szCs w:val="21"/>
              </w:rPr>
            </w:pPr>
            <w:r w:rsidRPr="00A0019E">
              <w:rPr>
                <w:sz w:val="21"/>
                <w:szCs w:val="21"/>
              </w:rPr>
              <w:sym w:font="Wingdings" w:char="F06F"/>
            </w:r>
          </w:p>
        </w:tc>
        <w:tc>
          <w:tcPr>
            <w:tcW w:w="2086" w:type="dxa"/>
          </w:tcPr>
          <w:p w14:paraId="1E406299" w14:textId="77777777" w:rsidR="00F261CF" w:rsidRPr="00A0019E" w:rsidDel="00283435" w:rsidRDefault="00F261CF" w:rsidP="00F261CF">
            <w:pPr>
              <w:rPr>
                <w:sz w:val="21"/>
                <w:szCs w:val="21"/>
              </w:rPr>
            </w:pPr>
            <w:r>
              <w:rPr>
                <w:sz w:val="21"/>
                <w:szCs w:val="21"/>
              </w:rPr>
              <w:t xml:space="preserve">Statement of insurer’s right to terminate </w:t>
            </w:r>
          </w:p>
        </w:tc>
        <w:tc>
          <w:tcPr>
            <w:tcW w:w="1514" w:type="dxa"/>
          </w:tcPr>
          <w:p w14:paraId="2713410E" w14:textId="77777777" w:rsidR="00F261CF" w:rsidRPr="00A0019E" w:rsidDel="00283435" w:rsidRDefault="00F261CF" w:rsidP="00F261CF">
            <w:pPr>
              <w:rPr>
                <w:rStyle w:val="Hyperlink"/>
                <w:color w:val="auto"/>
                <w:sz w:val="21"/>
                <w:szCs w:val="21"/>
                <w:u w:val="none"/>
              </w:rPr>
            </w:pPr>
            <w:r w:rsidRPr="009073FA">
              <w:rPr>
                <w:sz w:val="21"/>
                <w:szCs w:val="21"/>
              </w:rPr>
              <w:t xml:space="preserve">NAIC Model 200 </w:t>
            </w:r>
            <w:r>
              <w:rPr>
                <w:sz w:val="21"/>
                <w:szCs w:val="21"/>
              </w:rPr>
              <w:t>§</w:t>
            </w:r>
            <w:r w:rsidRPr="009073FA">
              <w:rPr>
                <w:sz w:val="21"/>
                <w:szCs w:val="21"/>
              </w:rPr>
              <w:t xml:space="preserve"> </w:t>
            </w:r>
            <w:r>
              <w:rPr>
                <w:sz w:val="21"/>
                <w:szCs w:val="21"/>
              </w:rPr>
              <w:t>6B(2)(b)</w:t>
            </w:r>
          </w:p>
        </w:tc>
        <w:tc>
          <w:tcPr>
            <w:tcW w:w="3209" w:type="dxa"/>
          </w:tcPr>
          <w:p w14:paraId="28B375C7" w14:textId="77777777" w:rsidR="00F261CF" w:rsidRPr="00A0019E" w:rsidRDefault="00F261CF" w:rsidP="00F261CF">
            <w:pPr>
              <w:rPr>
                <w:sz w:val="21"/>
                <w:szCs w:val="21"/>
              </w:rPr>
            </w:pPr>
            <w:r>
              <w:rPr>
                <w:sz w:val="23"/>
                <w:szCs w:val="23"/>
              </w:rPr>
              <w:t>Statement accompanying contract listing events that give the insurer the right to unilaterally and immediately terminate the contract</w:t>
            </w:r>
          </w:p>
        </w:tc>
        <w:tc>
          <w:tcPr>
            <w:tcW w:w="1376" w:type="dxa"/>
          </w:tcPr>
          <w:p w14:paraId="07BA15E8" w14:textId="77777777" w:rsidR="00F261CF" w:rsidRPr="00A0019E" w:rsidRDefault="00F261CF" w:rsidP="00F261CF">
            <w:pPr>
              <w:rPr>
                <w:sz w:val="21"/>
                <w:szCs w:val="21"/>
              </w:rPr>
            </w:pPr>
          </w:p>
        </w:tc>
      </w:tr>
      <w:tr w:rsidR="00F261CF" w:rsidRPr="00A0019E" w14:paraId="0E27F909" w14:textId="77777777" w:rsidTr="004E37F5">
        <w:tc>
          <w:tcPr>
            <w:tcW w:w="1165" w:type="dxa"/>
          </w:tcPr>
          <w:p w14:paraId="276DDC77" w14:textId="77777777" w:rsidR="00F261CF" w:rsidRPr="00A0019E" w:rsidDel="00283435" w:rsidRDefault="00F261CF" w:rsidP="00F261CF">
            <w:pPr>
              <w:rPr>
                <w:sz w:val="21"/>
                <w:szCs w:val="21"/>
              </w:rPr>
            </w:pPr>
            <w:r w:rsidRPr="00A0019E">
              <w:rPr>
                <w:sz w:val="21"/>
                <w:szCs w:val="21"/>
              </w:rPr>
              <w:sym w:font="Wingdings" w:char="F06F"/>
            </w:r>
          </w:p>
        </w:tc>
        <w:tc>
          <w:tcPr>
            <w:tcW w:w="2086" w:type="dxa"/>
          </w:tcPr>
          <w:p w14:paraId="3CAF8E68" w14:textId="77777777" w:rsidR="00F261CF" w:rsidRPr="00A0019E" w:rsidDel="00283435" w:rsidRDefault="00F261CF" w:rsidP="00F261CF">
            <w:pPr>
              <w:rPr>
                <w:sz w:val="21"/>
                <w:szCs w:val="21"/>
              </w:rPr>
            </w:pPr>
            <w:r>
              <w:rPr>
                <w:sz w:val="21"/>
                <w:szCs w:val="21"/>
              </w:rPr>
              <w:t>Statement of compliance with required contract provisions</w:t>
            </w:r>
          </w:p>
        </w:tc>
        <w:tc>
          <w:tcPr>
            <w:tcW w:w="1514" w:type="dxa"/>
          </w:tcPr>
          <w:p w14:paraId="35F70911" w14:textId="77777777" w:rsidR="00F261CF" w:rsidRPr="00A0019E" w:rsidDel="00283435" w:rsidRDefault="00F261CF" w:rsidP="00F261CF">
            <w:pPr>
              <w:rPr>
                <w:rStyle w:val="Hyperlink"/>
                <w:color w:val="auto"/>
                <w:sz w:val="21"/>
                <w:szCs w:val="21"/>
                <w:u w:val="none"/>
              </w:rPr>
            </w:pPr>
            <w:r>
              <w:rPr>
                <w:rStyle w:val="Hyperlink"/>
                <w:color w:val="auto"/>
                <w:sz w:val="21"/>
                <w:szCs w:val="21"/>
                <w:u w:val="none"/>
              </w:rPr>
              <w:t>NAIC Model 200 § 6B(1)</w:t>
            </w:r>
          </w:p>
        </w:tc>
        <w:tc>
          <w:tcPr>
            <w:tcW w:w="3209" w:type="dxa"/>
          </w:tcPr>
          <w:p w14:paraId="6123B07C" w14:textId="77777777" w:rsidR="00F261CF" w:rsidRPr="00A0019E" w:rsidRDefault="00F261CF" w:rsidP="00F261CF">
            <w:pPr>
              <w:rPr>
                <w:sz w:val="21"/>
                <w:szCs w:val="21"/>
              </w:rPr>
            </w:pPr>
            <w:r>
              <w:rPr>
                <w:sz w:val="21"/>
                <w:szCs w:val="21"/>
              </w:rPr>
              <w:t>Form of contract filed for approval shall be accompanied by a statement that the contract meets the conditions in Model 200 § 6A</w:t>
            </w:r>
          </w:p>
        </w:tc>
        <w:tc>
          <w:tcPr>
            <w:tcW w:w="1376" w:type="dxa"/>
          </w:tcPr>
          <w:p w14:paraId="313660AF" w14:textId="77777777" w:rsidR="00F261CF" w:rsidRPr="00A0019E" w:rsidRDefault="00F261CF" w:rsidP="00F261CF">
            <w:pPr>
              <w:rPr>
                <w:sz w:val="21"/>
                <w:szCs w:val="21"/>
              </w:rPr>
            </w:pPr>
          </w:p>
        </w:tc>
      </w:tr>
      <w:tr w:rsidR="00B51FD0" w:rsidRPr="00A0019E" w14:paraId="6EECA312" w14:textId="77777777" w:rsidTr="004E37F5">
        <w:tc>
          <w:tcPr>
            <w:tcW w:w="1165" w:type="dxa"/>
          </w:tcPr>
          <w:p w14:paraId="2E89917B" w14:textId="77777777" w:rsidR="00F261CF" w:rsidRPr="00A0019E" w:rsidRDefault="00F261CF" w:rsidP="00F261CF">
            <w:pPr>
              <w:rPr>
                <w:sz w:val="21"/>
                <w:szCs w:val="21"/>
              </w:rPr>
            </w:pPr>
            <w:r w:rsidRPr="00A0019E">
              <w:rPr>
                <w:sz w:val="21"/>
                <w:szCs w:val="21"/>
              </w:rPr>
              <w:sym w:font="Wingdings" w:char="F06F"/>
            </w:r>
          </w:p>
        </w:tc>
        <w:tc>
          <w:tcPr>
            <w:tcW w:w="2086" w:type="dxa"/>
          </w:tcPr>
          <w:p w14:paraId="6E9EF2E6" w14:textId="77777777" w:rsidR="00F261CF" w:rsidRPr="00A0019E" w:rsidRDefault="00F261CF" w:rsidP="00F261CF">
            <w:pPr>
              <w:rPr>
                <w:sz w:val="21"/>
                <w:szCs w:val="21"/>
              </w:rPr>
            </w:pPr>
            <w:r w:rsidRPr="00A0019E">
              <w:rPr>
                <w:sz w:val="21"/>
                <w:szCs w:val="21"/>
              </w:rPr>
              <w:t xml:space="preserve">NE Filing Form </w:t>
            </w:r>
          </w:p>
        </w:tc>
        <w:tc>
          <w:tcPr>
            <w:tcW w:w="1514" w:type="dxa"/>
          </w:tcPr>
          <w:p w14:paraId="62D94BE0" w14:textId="77777777" w:rsidR="00F261CF" w:rsidRPr="00A0019E" w:rsidRDefault="00F261CF" w:rsidP="00F261CF">
            <w:pPr>
              <w:rPr>
                <w:sz w:val="21"/>
                <w:szCs w:val="21"/>
              </w:rPr>
            </w:pPr>
            <w:r w:rsidRPr="00A0019E">
              <w:rPr>
                <w:rStyle w:val="Hyperlink"/>
                <w:color w:val="auto"/>
                <w:sz w:val="21"/>
                <w:szCs w:val="21"/>
                <w:u w:val="none"/>
              </w:rPr>
              <w:t>NE Filing Requirement</w:t>
            </w:r>
          </w:p>
        </w:tc>
        <w:tc>
          <w:tcPr>
            <w:tcW w:w="3209" w:type="dxa"/>
          </w:tcPr>
          <w:p w14:paraId="4540C6FD" w14:textId="77777777" w:rsidR="00F261CF" w:rsidRPr="00A0019E" w:rsidRDefault="00F261CF" w:rsidP="00F261CF">
            <w:pPr>
              <w:rPr>
                <w:sz w:val="21"/>
                <w:szCs w:val="21"/>
              </w:rPr>
            </w:pPr>
            <w:r w:rsidRPr="00A0019E">
              <w:rPr>
                <w:sz w:val="21"/>
                <w:szCs w:val="21"/>
              </w:rPr>
              <w:t>Use page 2 for additional forms</w:t>
            </w:r>
          </w:p>
        </w:tc>
        <w:tc>
          <w:tcPr>
            <w:tcW w:w="1376" w:type="dxa"/>
          </w:tcPr>
          <w:p w14:paraId="611E9FFD" w14:textId="77777777" w:rsidR="00F261CF" w:rsidRPr="00A0019E" w:rsidRDefault="00F261CF" w:rsidP="00F261CF">
            <w:pPr>
              <w:rPr>
                <w:sz w:val="21"/>
                <w:szCs w:val="21"/>
              </w:rPr>
            </w:pPr>
          </w:p>
        </w:tc>
      </w:tr>
      <w:tr w:rsidR="00F261CF" w:rsidRPr="00A0019E" w14:paraId="390049FF" w14:textId="77777777" w:rsidTr="00283435">
        <w:tc>
          <w:tcPr>
            <w:tcW w:w="1165" w:type="dxa"/>
            <w:shd w:val="clear" w:color="auto" w:fill="E7E6E6" w:themeFill="background2"/>
          </w:tcPr>
          <w:p w14:paraId="0738D48A" w14:textId="77777777" w:rsidR="00F261CF" w:rsidRPr="00A0019E" w:rsidRDefault="00F261CF" w:rsidP="00F261CF">
            <w:pPr>
              <w:rPr>
                <w:b/>
                <w:sz w:val="21"/>
                <w:szCs w:val="21"/>
              </w:rPr>
            </w:pPr>
          </w:p>
        </w:tc>
        <w:tc>
          <w:tcPr>
            <w:tcW w:w="8185" w:type="dxa"/>
            <w:gridSpan w:val="4"/>
            <w:shd w:val="clear" w:color="auto" w:fill="E7E6E6" w:themeFill="background2"/>
          </w:tcPr>
          <w:p w14:paraId="2A3E744C" w14:textId="77777777" w:rsidR="00F261CF" w:rsidRPr="00A0019E" w:rsidRDefault="00F261CF" w:rsidP="00F261CF">
            <w:pPr>
              <w:rPr>
                <w:b/>
                <w:sz w:val="21"/>
                <w:szCs w:val="21"/>
              </w:rPr>
            </w:pPr>
            <w:r w:rsidRPr="00A0019E">
              <w:rPr>
                <w:b/>
                <w:sz w:val="21"/>
                <w:szCs w:val="21"/>
              </w:rPr>
              <w:t>EXPLANATION FOR ANY ITEMS MARKED NOT APPLICABLE</w:t>
            </w:r>
          </w:p>
        </w:tc>
      </w:tr>
      <w:tr w:rsidR="00F261CF" w:rsidRPr="00A0019E" w14:paraId="546BB2B3" w14:textId="77777777" w:rsidTr="00283435">
        <w:tc>
          <w:tcPr>
            <w:tcW w:w="1165" w:type="dxa"/>
          </w:tcPr>
          <w:p w14:paraId="5B2392ED" w14:textId="77777777" w:rsidR="00F261CF" w:rsidRPr="00A0019E" w:rsidRDefault="00F261CF" w:rsidP="00F261CF">
            <w:pPr>
              <w:rPr>
                <w:sz w:val="21"/>
                <w:szCs w:val="21"/>
              </w:rPr>
            </w:pPr>
          </w:p>
        </w:tc>
        <w:tc>
          <w:tcPr>
            <w:tcW w:w="8185" w:type="dxa"/>
            <w:gridSpan w:val="4"/>
          </w:tcPr>
          <w:p w14:paraId="7EC87F63" w14:textId="77777777" w:rsidR="00F261CF" w:rsidRPr="00A0019E" w:rsidRDefault="00F261CF" w:rsidP="00F261CF">
            <w:pPr>
              <w:rPr>
                <w:sz w:val="21"/>
                <w:szCs w:val="21"/>
              </w:rPr>
            </w:pPr>
            <w:r w:rsidRPr="00A0019E">
              <w:rPr>
                <w:sz w:val="21"/>
                <w:szCs w:val="21"/>
              </w:rPr>
              <w:t>Please use this space provide an explanation for any checklist requirement marked “N/A” to avoid receiving an objection in SERFF.</w:t>
            </w:r>
          </w:p>
          <w:p w14:paraId="6CCBEB61" w14:textId="77777777" w:rsidR="00F261CF" w:rsidRPr="00A0019E" w:rsidRDefault="00F261CF" w:rsidP="00F261CF">
            <w:pPr>
              <w:rPr>
                <w:sz w:val="21"/>
                <w:szCs w:val="21"/>
              </w:rPr>
            </w:pPr>
          </w:p>
          <w:p w14:paraId="6611D029" w14:textId="77777777" w:rsidR="00F261CF" w:rsidRPr="00A0019E" w:rsidRDefault="00F261CF" w:rsidP="00F261CF">
            <w:pPr>
              <w:rPr>
                <w:sz w:val="21"/>
                <w:szCs w:val="21"/>
              </w:rPr>
            </w:pPr>
          </w:p>
        </w:tc>
      </w:tr>
    </w:tbl>
    <w:p w14:paraId="42B355E4" w14:textId="77777777" w:rsidR="0029563E" w:rsidRDefault="0029563E" w:rsidP="001270E9">
      <w:pPr>
        <w:spacing w:after="0"/>
        <w:rPr>
          <w:rFonts w:ascii="Calibri" w:hAnsi="Calibri" w:cs="Calibri"/>
          <w:b/>
          <w:sz w:val="21"/>
          <w:szCs w:val="21"/>
          <w:u w:val="single"/>
        </w:rPr>
      </w:pPr>
    </w:p>
    <w:p w14:paraId="74F2F600" w14:textId="77777777" w:rsidR="0029563E" w:rsidRDefault="0029563E" w:rsidP="001270E9">
      <w:pPr>
        <w:spacing w:after="0"/>
        <w:rPr>
          <w:rFonts w:ascii="Calibri" w:hAnsi="Calibri" w:cs="Calibri"/>
          <w:b/>
          <w:sz w:val="21"/>
          <w:szCs w:val="21"/>
          <w:u w:val="single"/>
        </w:rPr>
      </w:pPr>
    </w:p>
    <w:p w14:paraId="27D4469A" w14:textId="77777777" w:rsidR="00680237" w:rsidRDefault="00680237" w:rsidP="001270E9">
      <w:pPr>
        <w:spacing w:after="0"/>
        <w:rPr>
          <w:rFonts w:ascii="Calibri" w:hAnsi="Calibri" w:cs="Calibri"/>
          <w:b/>
          <w:sz w:val="21"/>
          <w:szCs w:val="21"/>
          <w:u w:val="single"/>
        </w:rPr>
      </w:pPr>
      <w:r w:rsidRPr="00A0019E">
        <w:rPr>
          <w:rFonts w:ascii="Calibri" w:hAnsi="Calibri" w:cs="Calibri"/>
          <w:b/>
          <w:sz w:val="21"/>
          <w:szCs w:val="21"/>
          <w:u w:val="single"/>
        </w:rPr>
        <w:lastRenderedPageBreak/>
        <w:t>CERTIFICATION OF COMPLIANCE</w:t>
      </w:r>
    </w:p>
    <w:p w14:paraId="15A54B4E" w14:textId="77777777" w:rsidR="00F01915" w:rsidRPr="00A0019E" w:rsidRDefault="00F01915" w:rsidP="001270E9">
      <w:pPr>
        <w:spacing w:after="0"/>
        <w:rPr>
          <w:rFonts w:ascii="Calibri" w:hAnsi="Calibri" w:cs="Calibri"/>
          <w:b/>
          <w:sz w:val="21"/>
          <w:szCs w:val="21"/>
          <w:u w:val="single"/>
        </w:rPr>
      </w:pPr>
    </w:p>
    <w:p w14:paraId="01469C26" w14:textId="77777777"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0CE102BF" w14:textId="77777777" w:rsidR="00C80848" w:rsidRPr="00A0019E" w:rsidRDefault="00C80848" w:rsidP="00680237">
      <w:pPr>
        <w:spacing w:after="0"/>
        <w:rPr>
          <w:sz w:val="21"/>
          <w:szCs w:val="21"/>
        </w:rPr>
      </w:pPr>
    </w:p>
    <w:p w14:paraId="2F3321EB" w14:textId="77777777" w:rsidR="005F7BF1" w:rsidRPr="00A0019E" w:rsidRDefault="005F7BF1" w:rsidP="00680237">
      <w:pPr>
        <w:spacing w:after="0"/>
        <w:rPr>
          <w:sz w:val="21"/>
          <w:szCs w:val="21"/>
        </w:rPr>
      </w:pPr>
    </w:p>
    <w:p w14:paraId="57A9131E" w14:textId="77777777"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p>
    <w:p w14:paraId="0C4F46D2" w14:textId="77777777"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585CAB12" w14:textId="77777777" w:rsidR="00680237" w:rsidRPr="00A0019E" w:rsidRDefault="00680237" w:rsidP="002A252D">
      <w:pPr>
        <w:spacing w:after="0" w:line="240" w:lineRule="auto"/>
        <w:rPr>
          <w:sz w:val="21"/>
          <w:szCs w:val="21"/>
        </w:rPr>
      </w:pPr>
    </w:p>
    <w:p w14:paraId="761BC7FF" w14:textId="77777777" w:rsidR="005F7BF1" w:rsidRPr="00A0019E" w:rsidRDefault="005F7BF1" w:rsidP="002A252D">
      <w:pPr>
        <w:spacing w:after="0" w:line="240" w:lineRule="auto"/>
        <w:rPr>
          <w:sz w:val="21"/>
          <w:szCs w:val="21"/>
        </w:rPr>
      </w:pPr>
    </w:p>
    <w:p w14:paraId="22D48882" w14:textId="77777777"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4E85BB44" w14:textId="77777777" w:rsidR="00680237"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p w14:paraId="7B6E09F3" w14:textId="77777777" w:rsidR="00680237" w:rsidRPr="00A0019E" w:rsidRDefault="00680237" w:rsidP="002A252D">
      <w:pPr>
        <w:spacing w:after="0" w:line="240" w:lineRule="auto"/>
        <w:rPr>
          <w:sz w:val="21"/>
          <w:szCs w:val="21"/>
        </w:rPr>
      </w:pPr>
    </w:p>
    <w:p w14:paraId="47809ED8" w14:textId="77777777" w:rsidR="005F7BF1" w:rsidRPr="00A0019E" w:rsidRDefault="005F7BF1" w:rsidP="002A252D">
      <w:pPr>
        <w:spacing w:after="0" w:line="240" w:lineRule="auto"/>
        <w:rPr>
          <w:sz w:val="21"/>
          <w:szCs w:val="21"/>
        </w:rPr>
      </w:pPr>
    </w:p>
    <w:sectPr w:rsidR="005F7BF1" w:rsidRPr="00A0019E">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A2B2" w14:textId="77777777" w:rsidR="004B5A34" w:rsidRDefault="004B5A34" w:rsidP="00B669E2">
      <w:pPr>
        <w:spacing w:after="0" w:line="240" w:lineRule="auto"/>
      </w:pPr>
      <w:r>
        <w:separator/>
      </w:r>
    </w:p>
  </w:endnote>
  <w:endnote w:type="continuationSeparator" w:id="0">
    <w:p w14:paraId="56E4A617" w14:textId="77777777" w:rsidR="004B5A34" w:rsidRDefault="004B5A34"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3434" w14:textId="77777777" w:rsidR="00DB645B" w:rsidRDefault="00DB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395615C0" w14:textId="0289FCF2" w:rsidR="00AA6D99" w:rsidRDefault="00AA6D99">
        <w:pPr>
          <w:pStyle w:val="Footer"/>
          <w:jc w:val="right"/>
        </w:pPr>
        <w:r>
          <w:fldChar w:fldCharType="begin"/>
        </w:r>
        <w:r>
          <w:instrText xml:space="preserve"> PAGE   \* MERGEFORMAT </w:instrText>
        </w:r>
        <w:r>
          <w:fldChar w:fldCharType="separate"/>
        </w:r>
        <w:r w:rsidR="00F46227">
          <w:rPr>
            <w:noProof/>
          </w:rPr>
          <w:t>7</w:t>
        </w:r>
        <w:r>
          <w:rPr>
            <w:noProof/>
          </w:rPr>
          <w:fldChar w:fldCharType="end"/>
        </w:r>
      </w:p>
    </w:sdtContent>
  </w:sdt>
  <w:p w14:paraId="368D46E2" w14:textId="77777777" w:rsidR="00B669E2" w:rsidRDefault="00694250">
    <w:pPr>
      <w:pStyle w:val="Footer"/>
    </w:pPr>
    <w:r w:rsidRPr="00694250">
      <w:t>S:\LIFNHLTH\BRAND NEW TEMPLATES</w:t>
    </w:r>
  </w:p>
  <w:p w14:paraId="64E527A9" w14:textId="64C0B84B" w:rsidR="00694250" w:rsidRDefault="00694250">
    <w:pPr>
      <w:pStyle w:val="Footer"/>
    </w:pPr>
    <w:r>
      <w:t xml:space="preserve">Last Updated </w:t>
    </w:r>
    <w:r w:rsidR="00DB645B">
      <w:t>2/15/2022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6C82" w14:textId="77777777" w:rsidR="00DB645B" w:rsidRDefault="00DB6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3E6A" w14:textId="77777777" w:rsidR="004B5A34" w:rsidRDefault="004B5A34" w:rsidP="00B669E2">
      <w:pPr>
        <w:spacing w:after="0" w:line="240" w:lineRule="auto"/>
      </w:pPr>
      <w:r>
        <w:separator/>
      </w:r>
    </w:p>
  </w:footnote>
  <w:footnote w:type="continuationSeparator" w:id="0">
    <w:p w14:paraId="6FF73BC1" w14:textId="77777777" w:rsidR="004B5A34" w:rsidRDefault="004B5A34"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115E" w14:textId="77777777" w:rsidR="00DB645B" w:rsidRDefault="00DB6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74A5" w14:textId="77777777" w:rsidR="006A03BD" w:rsidRDefault="008D09C6" w:rsidP="006A03BD">
    <w:pPr>
      <w:spacing w:after="0"/>
      <w:jc w:val="center"/>
      <w:rPr>
        <w:b/>
      </w:rPr>
    </w:pPr>
    <w:r>
      <w:rPr>
        <w:b/>
      </w:rPr>
      <w:t xml:space="preserve">(NON-SYNTHETIC) </w:t>
    </w:r>
    <w:r w:rsidR="002177D3">
      <w:rPr>
        <w:b/>
      </w:rPr>
      <w:t>GUARANTEED INVESTMENT CONTRACTS (GIC)</w:t>
    </w:r>
    <w:r w:rsidR="006A03BD" w:rsidRPr="0079382C">
      <w:rPr>
        <w:b/>
      </w:rPr>
      <w:t xml:space="preserve"> </w:t>
    </w:r>
    <w:r w:rsidR="006A03BD">
      <w:rPr>
        <w:b/>
      </w:rPr>
      <w:t>CHECKLIST</w:t>
    </w:r>
  </w:p>
  <w:p w14:paraId="0764B8FC" w14:textId="77777777" w:rsidR="006A03BD" w:rsidRDefault="006A03BD">
    <w:pPr>
      <w:pStyle w:val="Header"/>
    </w:pPr>
  </w:p>
  <w:p w14:paraId="3E194342" w14:textId="77777777" w:rsidR="006A03BD" w:rsidRDefault="006A0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5E96" w14:textId="77777777" w:rsidR="00DB645B" w:rsidRDefault="00DB6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3EC"/>
    <w:multiLevelType w:val="hybridMultilevel"/>
    <w:tmpl w:val="E0AE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11C"/>
    <w:rsid w:val="00003E47"/>
    <w:rsid w:val="00012299"/>
    <w:rsid w:val="000132B0"/>
    <w:rsid w:val="00014A46"/>
    <w:rsid w:val="000245F0"/>
    <w:rsid w:val="000261E8"/>
    <w:rsid w:val="000270E2"/>
    <w:rsid w:val="00030783"/>
    <w:rsid w:val="0003086C"/>
    <w:rsid w:val="00031AC9"/>
    <w:rsid w:val="00036068"/>
    <w:rsid w:val="000367B7"/>
    <w:rsid w:val="0004391A"/>
    <w:rsid w:val="00051AA9"/>
    <w:rsid w:val="00051B63"/>
    <w:rsid w:val="00051BE1"/>
    <w:rsid w:val="00067C0C"/>
    <w:rsid w:val="00070097"/>
    <w:rsid w:val="00077FF9"/>
    <w:rsid w:val="0008026E"/>
    <w:rsid w:val="000927A3"/>
    <w:rsid w:val="00092DED"/>
    <w:rsid w:val="00094A7E"/>
    <w:rsid w:val="000A1182"/>
    <w:rsid w:val="000A4A79"/>
    <w:rsid w:val="000A5C0F"/>
    <w:rsid w:val="000A77AB"/>
    <w:rsid w:val="000B0055"/>
    <w:rsid w:val="000B04E1"/>
    <w:rsid w:val="000B0D03"/>
    <w:rsid w:val="000B2816"/>
    <w:rsid w:val="000B4340"/>
    <w:rsid w:val="000B7DC1"/>
    <w:rsid w:val="000C31C2"/>
    <w:rsid w:val="000C3E33"/>
    <w:rsid w:val="000C3FC3"/>
    <w:rsid w:val="000D085E"/>
    <w:rsid w:val="000D2163"/>
    <w:rsid w:val="000D4D13"/>
    <w:rsid w:val="000E2395"/>
    <w:rsid w:val="000E3018"/>
    <w:rsid w:val="000E5645"/>
    <w:rsid w:val="000F0989"/>
    <w:rsid w:val="000F1822"/>
    <w:rsid w:val="000F29D5"/>
    <w:rsid w:val="000F2ECE"/>
    <w:rsid w:val="00110121"/>
    <w:rsid w:val="00122715"/>
    <w:rsid w:val="001259B6"/>
    <w:rsid w:val="001270E9"/>
    <w:rsid w:val="00133D9D"/>
    <w:rsid w:val="0013479D"/>
    <w:rsid w:val="001371E2"/>
    <w:rsid w:val="001379F9"/>
    <w:rsid w:val="00137D53"/>
    <w:rsid w:val="00142D69"/>
    <w:rsid w:val="00145141"/>
    <w:rsid w:val="00151515"/>
    <w:rsid w:val="00151F62"/>
    <w:rsid w:val="00154FD5"/>
    <w:rsid w:val="001569FA"/>
    <w:rsid w:val="00157603"/>
    <w:rsid w:val="00157DBD"/>
    <w:rsid w:val="0016068C"/>
    <w:rsid w:val="00160C55"/>
    <w:rsid w:val="00163B53"/>
    <w:rsid w:val="00165FEC"/>
    <w:rsid w:val="001702E4"/>
    <w:rsid w:val="00186206"/>
    <w:rsid w:val="001903C9"/>
    <w:rsid w:val="00190E4A"/>
    <w:rsid w:val="0019245B"/>
    <w:rsid w:val="00192D39"/>
    <w:rsid w:val="00193ECD"/>
    <w:rsid w:val="00194028"/>
    <w:rsid w:val="001A37E5"/>
    <w:rsid w:val="001C09C5"/>
    <w:rsid w:val="001C1D3E"/>
    <w:rsid w:val="001D3F37"/>
    <w:rsid w:val="001D44FD"/>
    <w:rsid w:val="001D67E8"/>
    <w:rsid w:val="001D6849"/>
    <w:rsid w:val="001E15E1"/>
    <w:rsid w:val="001E4428"/>
    <w:rsid w:val="001F2A78"/>
    <w:rsid w:val="001F31EC"/>
    <w:rsid w:val="00203CF3"/>
    <w:rsid w:val="002056DD"/>
    <w:rsid w:val="00215D86"/>
    <w:rsid w:val="002177D3"/>
    <w:rsid w:val="00225605"/>
    <w:rsid w:val="00232822"/>
    <w:rsid w:val="002341F2"/>
    <w:rsid w:val="002431A8"/>
    <w:rsid w:val="00243B70"/>
    <w:rsid w:val="00253478"/>
    <w:rsid w:val="00253488"/>
    <w:rsid w:val="002534AD"/>
    <w:rsid w:val="00256CB5"/>
    <w:rsid w:val="00257A70"/>
    <w:rsid w:val="002640AF"/>
    <w:rsid w:val="00267D4A"/>
    <w:rsid w:val="002714C4"/>
    <w:rsid w:val="002719F6"/>
    <w:rsid w:val="00273E97"/>
    <w:rsid w:val="0028066D"/>
    <w:rsid w:val="0028125B"/>
    <w:rsid w:val="00281A7B"/>
    <w:rsid w:val="0028316D"/>
    <w:rsid w:val="00283435"/>
    <w:rsid w:val="002836DC"/>
    <w:rsid w:val="002867B8"/>
    <w:rsid w:val="00287B02"/>
    <w:rsid w:val="002936C1"/>
    <w:rsid w:val="00294778"/>
    <w:rsid w:val="0029563E"/>
    <w:rsid w:val="00295A59"/>
    <w:rsid w:val="00296BA4"/>
    <w:rsid w:val="002A0E30"/>
    <w:rsid w:val="002A147A"/>
    <w:rsid w:val="002A252D"/>
    <w:rsid w:val="002A7929"/>
    <w:rsid w:val="002B162F"/>
    <w:rsid w:val="002B19AE"/>
    <w:rsid w:val="002B2D74"/>
    <w:rsid w:val="002B3F7C"/>
    <w:rsid w:val="002B797B"/>
    <w:rsid w:val="002C18D3"/>
    <w:rsid w:val="002C3C3B"/>
    <w:rsid w:val="002C72C4"/>
    <w:rsid w:val="002C7E89"/>
    <w:rsid w:val="002C7EAE"/>
    <w:rsid w:val="002D044A"/>
    <w:rsid w:val="002D4F38"/>
    <w:rsid w:val="002D64C1"/>
    <w:rsid w:val="002E13B5"/>
    <w:rsid w:val="002E6950"/>
    <w:rsid w:val="002E6DB2"/>
    <w:rsid w:val="002F3D72"/>
    <w:rsid w:val="00302C5F"/>
    <w:rsid w:val="003043F2"/>
    <w:rsid w:val="00305802"/>
    <w:rsid w:val="003076B7"/>
    <w:rsid w:val="00307A2C"/>
    <w:rsid w:val="00310458"/>
    <w:rsid w:val="003157F5"/>
    <w:rsid w:val="00315CBE"/>
    <w:rsid w:val="003214E0"/>
    <w:rsid w:val="00343FA3"/>
    <w:rsid w:val="003442EC"/>
    <w:rsid w:val="003503B7"/>
    <w:rsid w:val="00351597"/>
    <w:rsid w:val="00352F72"/>
    <w:rsid w:val="0036220C"/>
    <w:rsid w:val="00363A73"/>
    <w:rsid w:val="0037091C"/>
    <w:rsid w:val="00370BB2"/>
    <w:rsid w:val="00371EBE"/>
    <w:rsid w:val="00374257"/>
    <w:rsid w:val="0039113D"/>
    <w:rsid w:val="00392EBD"/>
    <w:rsid w:val="00393390"/>
    <w:rsid w:val="00397522"/>
    <w:rsid w:val="003A1466"/>
    <w:rsid w:val="003A30EA"/>
    <w:rsid w:val="003A33DF"/>
    <w:rsid w:val="003A3818"/>
    <w:rsid w:val="003A3E22"/>
    <w:rsid w:val="003B4067"/>
    <w:rsid w:val="003B54E2"/>
    <w:rsid w:val="003B603D"/>
    <w:rsid w:val="003B69A0"/>
    <w:rsid w:val="003C161D"/>
    <w:rsid w:val="003C6597"/>
    <w:rsid w:val="003D4FE8"/>
    <w:rsid w:val="003E5ADF"/>
    <w:rsid w:val="003F41A2"/>
    <w:rsid w:val="003F4A20"/>
    <w:rsid w:val="00401737"/>
    <w:rsid w:val="00405353"/>
    <w:rsid w:val="00412636"/>
    <w:rsid w:val="004136CF"/>
    <w:rsid w:val="00424670"/>
    <w:rsid w:val="0042568C"/>
    <w:rsid w:val="00426893"/>
    <w:rsid w:val="00440525"/>
    <w:rsid w:val="00441D1B"/>
    <w:rsid w:val="00444B1F"/>
    <w:rsid w:val="0044610C"/>
    <w:rsid w:val="00446769"/>
    <w:rsid w:val="00450486"/>
    <w:rsid w:val="00451A12"/>
    <w:rsid w:val="004529A8"/>
    <w:rsid w:val="00465DCD"/>
    <w:rsid w:val="00467A18"/>
    <w:rsid w:val="00470B62"/>
    <w:rsid w:val="00472737"/>
    <w:rsid w:val="0047768D"/>
    <w:rsid w:val="004823E2"/>
    <w:rsid w:val="00483C99"/>
    <w:rsid w:val="0049100A"/>
    <w:rsid w:val="004B137E"/>
    <w:rsid w:val="004B333B"/>
    <w:rsid w:val="004B5A34"/>
    <w:rsid w:val="004C3425"/>
    <w:rsid w:val="004C4FC7"/>
    <w:rsid w:val="004D6C15"/>
    <w:rsid w:val="004E1471"/>
    <w:rsid w:val="004E289E"/>
    <w:rsid w:val="004E37F5"/>
    <w:rsid w:val="004E5D92"/>
    <w:rsid w:val="004E696A"/>
    <w:rsid w:val="0050227B"/>
    <w:rsid w:val="00505563"/>
    <w:rsid w:val="005077D6"/>
    <w:rsid w:val="0051273A"/>
    <w:rsid w:val="0051627D"/>
    <w:rsid w:val="00521B3F"/>
    <w:rsid w:val="0052263E"/>
    <w:rsid w:val="00525466"/>
    <w:rsid w:val="005270EA"/>
    <w:rsid w:val="00532DBA"/>
    <w:rsid w:val="00535A89"/>
    <w:rsid w:val="0054036B"/>
    <w:rsid w:val="005426BA"/>
    <w:rsid w:val="00546785"/>
    <w:rsid w:val="00550313"/>
    <w:rsid w:val="005516C3"/>
    <w:rsid w:val="00551932"/>
    <w:rsid w:val="005560D9"/>
    <w:rsid w:val="00565A21"/>
    <w:rsid w:val="005717C1"/>
    <w:rsid w:val="00571E61"/>
    <w:rsid w:val="00572EB0"/>
    <w:rsid w:val="00577543"/>
    <w:rsid w:val="005814C8"/>
    <w:rsid w:val="0058514F"/>
    <w:rsid w:val="0058660B"/>
    <w:rsid w:val="005A2B43"/>
    <w:rsid w:val="005A6908"/>
    <w:rsid w:val="005A7901"/>
    <w:rsid w:val="005C1CA5"/>
    <w:rsid w:val="005C2E91"/>
    <w:rsid w:val="005C5483"/>
    <w:rsid w:val="005D0531"/>
    <w:rsid w:val="005D0D06"/>
    <w:rsid w:val="005D5710"/>
    <w:rsid w:val="005F13A7"/>
    <w:rsid w:val="005F4BBE"/>
    <w:rsid w:val="005F7BF1"/>
    <w:rsid w:val="0060705E"/>
    <w:rsid w:val="0062065A"/>
    <w:rsid w:val="00620DF9"/>
    <w:rsid w:val="00621288"/>
    <w:rsid w:val="00621E37"/>
    <w:rsid w:val="0062719B"/>
    <w:rsid w:val="0063434F"/>
    <w:rsid w:val="006365CB"/>
    <w:rsid w:val="006401B6"/>
    <w:rsid w:val="00643273"/>
    <w:rsid w:val="00672A97"/>
    <w:rsid w:val="006737CA"/>
    <w:rsid w:val="00676705"/>
    <w:rsid w:val="006772E9"/>
    <w:rsid w:val="0067782C"/>
    <w:rsid w:val="006778E8"/>
    <w:rsid w:val="00680237"/>
    <w:rsid w:val="00684C35"/>
    <w:rsid w:val="0068647F"/>
    <w:rsid w:val="00687A81"/>
    <w:rsid w:val="006934AF"/>
    <w:rsid w:val="00694250"/>
    <w:rsid w:val="00695F1C"/>
    <w:rsid w:val="006A03BD"/>
    <w:rsid w:val="006A3F10"/>
    <w:rsid w:val="006B2B76"/>
    <w:rsid w:val="006B3641"/>
    <w:rsid w:val="006B7CD3"/>
    <w:rsid w:val="006C01CD"/>
    <w:rsid w:val="006C7475"/>
    <w:rsid w:val="006D2990"/>
    <w:rsid w:val="006D32B7"/>
    <w:rsid w:val="006D44A2"/>
    <w:rsid w:val="006E6090"/>
    <w:rsid w:val="006E7265"/>
    <w:rsid w:val="006E7B1E"/>
    <w:rsid w:val="006F0075"/>
    <w:rsid w:val="006F1D3B"/>
    <w:rsid w:val="006F32A5"/>
    <w:rsid w:val="00705492"/>
    <w:rsid w:val="00706C6D"/>
    <w:rsid w:val="00715433"/>
    <w:rsid w:val="00720E6D"/>
    <w:rsid w:val="00722313"/>
    <w:rsid w:val="0072317B"/>
    <w:rsid w:val="00727217"/>
    <w:rsid w:val="00734333"/>
    <w:rsid w:val="00734464"/>
    <w:rsid w:val="007358DC"/>
    <w:rsid w:val="007415E8"/>
    <w:rsid w:val="00742A30"/>
    <w:rsid w:val="00745B32"/>
    <w:rsid w:val="00745D54"/>
    <w:rsid w:val="0074644B"/>
    <w:rsid w:val="0075442A"/>
    <w:rsid w:val="00760077"/>
    <w:rsid w:val="0076350D"/>
    <w:rsid w:val="0076754F"/>
    <w:rsid w:val="00767A01"/>
    <w:rsid w:val="007707D4"/>
    <w:rsid w:val="00771B04"/>
    <w:rsid w:val="007906C4"/>
    <w:rsid w:val="0079382C"/>
    <w:rsid w:val="00793AE0"/>
    <w:rsid w:val="00796D1D"/>
    <w:rsid w:val="007A0F89"/>
    <w:rsid w:val="007A107E"/>
    <w:rsid w:val="007B3ED9"/>
    <w:rsid w:val="007B70E8"/>
    <w:rsid w:val="007C1FEC"/>
    <w:rsid w:val="007C3119"/>
    <w:rsid w:val="007C5EAF"/>
    <w:rsid w:val="007D2A90"/>
    <w:rsid w:val="007F1B84"/>
    <w:rsid w:val="007F4655"/>
    <w:rsid w:val="007F5D2C"/>
    <w:rsid w:val="007F616C"/>
    <w:rsid w:val="00800094"/>
    <w:rsid w:val="00801FB2"/>
    <w:rsid w:val="00802D80"/>
    <w:rsid w:val="008037DF"/>
    <w:rsid w:val="008112C4"/>
    <w:rsid w:val="00813F46"/>
    <w:rsid w:val="0081674F"/>
    <w:rsid w:val="00817D04"/>
    <w:rsid w:val="00825742"/>
    <w:rsid w:val="0083088A"/>
    <w:rsid w:val="00836CFD"/>
    <w:rsid w:val="00837812"/>
    <w:rsid w:val="00840692"/>
    <w:rsid w:val="00840AA8"/>
    <w:rsid w:val="0084432B"/>
    <w:rsid w:val="00844C7D"/>
    <w:rsid w:val="0085660B"/>
    <w:rsid w:val="00860B00"/>
    <w:rsid w:val="00860B39"/>
    <w:rsid w:val="00860BDF"/>
    <w:rsid w:val="0086102E"/>
    <w:rsid w:val="008647A3"/>
    <w:rsid w:val="0086547D"/>
    <w:rsid w:val="008722E9"/>
    <w:rsid w:val="00875414"/>
    <w:rsid w:val="00875FEC"/>
    <w:rsid w:val="00880590"/>
    <w:rsid w:val="008954CD"/>
    <w:rsid w:val="00896CB3"/>
    <w:rsid w:val="008A0525"/>
    <w:rsid w:val="008A07F3"/>
    <w:rsid w:val="008A3C4A"/>
    <w:rsid w:val="008A509E"/>
    <w:rsid w:val="008B0DDE"/>
    <w:rsid w:val="008B2DC7"/>
    <w:rsid w:val="008B3578"/>
    <w:rsid w:val="008B720F"/>
    <w:rsid w:val="008B760A"/>
    <w:rsid w:val="008C0F8A"/>
    <w:rsid w:val="008C41AD"/>
    <w:rsid w:val="008D09C6"/>
    <w:rsid w:val="008E0E6F"/>
    <w:rsid w:val="008F1F4A"/>
    <w:rsid w:val="008F263E"/>
    <w:rsid w:val="008F2CE3"/>
    <w:rsid w:val="008F3344"/>
    <w:rsid w:val="008F4DA9"/>
    <w:rsid w:val="00900173"/>
    <w:rsid w:val="00902489"/>
    <w:rsid w:val="009046C3"/>
    <w:rsid w:val="009050CF"/>
    <w:rsid w:val="00906AF3"/>
    <w:rsid w:val="009073FA"/>
    <w:rsid w:val="00910486"/>
    <w:rsid w:val="00917B7A"/>
    <w:rsid w:val="00933C8D"/>
    <w:rsid w:val="00936466"/>
    <w:rsid w:val="00936F4C"/>
    <w:rsid w:val="00941D7E"/>
    <w:rsid w:val="0094510B"/>
    <w:rsid w:val="009517F6"/>
    <w:rsid w:val="00953AE0"/>
    <w:rsid w:val="0096479B"/>
    <w:rsid w:val="0097428F"/>
    <w:rsid w:val="009744B5"/>
    <w:rsid w:val="009818B4"/>
    <w:rsid w:val="009826C0"/>
    <w:rsid w:val="00987451"/>
    <w:rsid w:val="00991B10"/>
    <w:rsid w:val="009938AD"/>
    <w:rsid w:val="00994E75"/>
    <w:rsid w:val="0099729E"/>
    <w:rsid w:val="009A236C"/>
    <w:rsid w:val="009A63AD"/>
    <w:rsid w:val="009B0BC6"/>
    <w:rsid w:val="009B11B7"/>
    <w:rsid w:val="009B1611"/>
    <w:rsid w:val="009B423E"/>
    <w:rsid w:val="009B4351"/>
    <w:rsid w:val="009B5720"/>
    <w:rsid w:val="009B7962"/>
    <w:rsid w:val="009C7370"/>
    <w:rsid w:val="009C7C37"/>
    <w:rsid w:val="009D11E6"/>
    <w:rsid w:val="009E15FC"/>
    <w:rsid w:val="009E3932"/>
    <w:rsid w:val="00A0019E"/>
    <w:rsid w:val="00A1464A"/>
    <w:rsid w:val="00A148FD"/>
    <w:rsid w:val="00A153FF"/>
    <w:rsid w:val="00A17C13"/>
    <w:rsid w:val="00A2052D"/>
    <w:rsid w:val="00A27F81"/>
    <w:rsid w:val="00A35ADD"/>
    <w:rsid w:val="00A37692"/>
    <w:rsid w:val="00A40C18"/>
    <w:rsid w:val="00A46178"/>
    <w:rsid w:val="00A50C70"/>
    <w:rsid w:val="00A55036"/>
    <w:rsid w:val="00A576F6"/>
    <w:rsid w:val="00A63260"/>
    <w:rsid w:val="00A64083"/>
    <w:rsid w:val="00A67B17"/>
    <w:rsid w:val="00A75D3F"/>
    <w:rsid w:val="00A833BC"/>
    <w:rsid w:val="00A900E1"/>
    <w:rsid w:val="00A910E4"/>
    <w:rsid w:val="00A97FB9"/>
    <w:rsid w:val="00AA06CB"/>
    <w:rsid w:val="00AA6423"/>
    <w:rsid w:val="00AA6D99"/>
    <w:rsid w:val="00AB0194"/>
    <w:rsid w:val="00AB150F"/>
    <w:rsid w:val="00AB39C1"/>
    <w:rsid w:val="00AB6741"/>
    <w:rsid w:val="00AB78BA"/>
    <w:rsid w:val="00AC218B"/>
    <w:rsid w:val="00AC25E9"/>
    <w:rsid w:val="00AC2A51"/>
    <w:rsid w:val="00AD3846"/>
    <w:rsid w:val="00AD54A9"/>
    <w:rsid w:val="00AE076B"/>
    <w:rsid w:val="00AF1AD9"/>
    <w:rsid w:val="00AF322D"/>
    <w:rsid w:val="00B0476A"/>
    <w:rsid w:val="00B1231A"/>
    <w:rsid w:val="00B217FF"/>
    <w:rsid w:val="00B32380"/>
    <w:rsid w:val="00B36946"/>
    <w:rsid w:val="00B46A2F"/>
    <w:rsid w:val="00B50D9A"/>
    <w:rsid w:val="00B51FD0"/>
    <w:rsid w:val="00B545BE"/>
    <w:rsid w:val="00B621ED"/>
    <w:rsid w:val="00B669E2"/>
    <w:rsid w:val="00B768D9"/>
    <w:rsid w:val="00B85472"/>
    <w:rsid w:val="00B93643"/>
    <w:rsid w:val="00B93A5E"/>
    <w:rsid w:val="00B976A6"/>
    <w:rsid w:val="00BA2CAC"/>
    <w:rsid w:val="00BA2F22"/>
    <w:rsid w:val="00BA637A"/>
    <w:rsid w:val="00BA6FA9"/>
    <w:rsid w:val="00BB1F41"/>
    <w:rsid w:val="00BB5C2C"/>
    <w:rsid w:val="00BC1673"/>
    <w:rsid w:val="00BC1EAF"/>
    <w:rsid w:val="00BC24B3"/>
    <w:rsid w:val="00BC3756"/>
    <w:rsid w:val="00BC5003"/>
    <w:rsid w:val="00BC6B76"/>
    <w:rsid w:val="00BD4016"/>
    <w:rsid w:val="00BE36FC"/>
    <w:rsid w:val="00BE4B62"/>
    <w:rsid w:val="00BE5F8E"/>
    <w:rsid w:val="00BE78B3"/>
    <w:rsid w:val="00C104DE"/>
    <w:rsid w:val="00C10C85"/>
    <w:rsid w:val="00C2199F"/>
    <w:rsid w:val="00C25447"/>
    <w:rsid w:val="00C4104F"/>
    <w:rsid w:val="00C41B7F"/>
    <w:rsid w:val="00C46F6F"/>
    <w:rsid w:val="00C47A75"/>
    <w:rsid w:val="00C50B45"/>
    <w:rsid w:val="00C523DB"/>
    <w:rsid w:val="00C53862"/>
    <w:rsid w:val="00C55AD3"/>
    <w:rsid w:val="00C56218"/>
    <w:rsid w:val="00C571E0"/>
    <w:rsid w:val="00C628C0"/>
    <w:rsid w:val="00C67B5E"/>
    <w:rsid w:val="00C705FB"/>
    <w:rsid w:val="00C72A59"/>
    <w:rsid w:val="00C76EDA"/>
    <w:rsid w:val="00C80848"/>
    <w:rsid w:val="00C839BE"/>
    <w:rsid w:val="00C90A5A"/>
    <w:rsid w:val="00C962CA"/>
    <w:rsid w:val="00CA0DCD"/>
    <w:rsid w:val="00CA483D"/>
    <w:rsid w:val="00CA4B76"/>
    <w:rsid w:val="00CA5A4B"/>
    <w:rsid w:val="00CA67CC"/>
    <w:rsid w:val="00CA6DA1"/>
    <w:rsid w:val="00CC1A18"/>
    <w:rsid w:val="00CD64D2"/>
    <w:rsid w:val="00CF4E4A"/>
    <w:rsid w:val="00CF6E1F"/>
    <w:rsid w:val="00CF6E87"/>
    <w:rsid w:val="00D01A61"/>
    <w:rsid w:val="00D01D29"/>
    <w:rsid w:val="00D02CC8"/>
    <w:rsid w:val="00D03453"/>
    <w:rsid w:val="00D0496E"/>
    <w:rsid w:val="00D07A14"/>
    <w:rsid w:val="00D20A27"/>
    <w:rsid w:val="00D23089"/>
    <w:rsid w:val="00D24E95"/>
    <w:rsid w:val="00D26C8A"/>
    <w:rsid w:val="00D27812"/>
    <w:rsid w:val="00D31D47"/>
    <w:rsid w:val="00D32E36"/>
    <w:rsid w:val="00D33A4C"/>
    <w:rsid w:val="00D36172"/>
    <w:rsid w:val="00D373E6"/>
    <w:rsid w:val="00D40751"/>
    <w:rsid w:val="00D41240"/>
    <w:rsid w:val="00D413CF"/>
    <w:rsid w:val="00D41809"/>
    <w:rsid w:val="00D42751"/>
    <w:rsid w:val="00D44772"/>
    <w:rsid w:val="00D50088"/>
    <w:rsid w:val="00D61371"/>
    <w:rsid w:val="00D633A5"/>
    <w:rsid w:val="00D64676"/>
    <w:rsid w:val="00D73DB9"/>
    <w:rsid w:val="00D750EC"/>
    <w:rsid w:val="00D752BB"/>
    <w:rsid w:val="00D75DF1"/>
    <w:rsid w:val="00D76D11"/>
    <w:rsid w:val="00D86A8A"/>
    <w:rsid w:val="00D91F8B"/>
    <w:rsid w:val="00D92DAD"/>
    <w:rsid w:val="00D93D07"/>
    <w:rsid w:val="00D9696C"/>
    <w:rsid w:val="00DA4903"/>
    <w:rsid w:val="00DA4C10"/>
    <w:rsid w:val="00DA5768"/>
    <w:rsid w:val="00DB3DD4"/>
    <w:rsid w:val="00DB505A"/>
    <w:rsid w:val="00DB645B"/>
    <w:rsid w:val="00DC1DA1"/>
    <w:rsid w:val="00DC2EEC"/>
    <w:rsid w:val="00DC3D18"/>
    <w:rsid w:val="00DC545C"/>
    <w:rsid w:val="00DC5BA6"/>
    <w:rsid w:val="00DC5C03"/>
    <w:rsid w:val="00DC77DF"/>
    <w:rsid w:val="00DC7DF8"/>
    <w:rsid w:val="00DD0456"/>
    <w:rsid w:val="00DD0F47"/>
    <w:rsid w:val="00DD1313"/>
    <w:rsid w:val="00DD2784"/>
    <w:rsid w:val="00DE0C9B"/>
    <w:rsid w:val="00DE7742"/>
    <w:rsid w:val="00DF0928"/>
    <w:rsid w:val="00DF2D2A"/>
    <w:rsid w:val="00DF4B03"/>
    <w:rsid w:val="00DF7553"/>
    <w:rsid w:val="00DF7998"/>
    <w:rsid w:val="00E01D0E"/>
    <w:rsid w:val="00E02B95"/>
    <w:rsid w:val="00E11581"/>
    <w:rsid w:val="00E1193D"/>
    <w:rsid w:val="00E12BC6"/>
    <w:rsid w:val="00E167EA"/>
    <w:rsid w:val="00E17DDB"/>
    <w:rsid w:val="00E20A68"/>
    <w:rsid w:val="00E35EA9"/>
    <w:rsid w:val="00E41FCF"/>
    <w:rsid w:val="00E42BAD"/>
    <w:rsid w:val="00E44A1C"/>
    <w:rsid w:val="00E45BC5"/>
    <w:rsid w:val="00E51A3B"/>
    <w:rsid w:val="00E5604F"/>
    <w:rsid w:val="00E57675"/>
    <w:rsid w:val="00E61A1A"/>
    <w:rsid w:val="00E74538"/>
    <w:rsid w:val="00E751E1"/>
    <w:rsid w:val="00E765C6"/>
    <w:rsid w:val="00E80264"/>
    <w:rsid w:val="00E80319"/>
    <w:rsid w:val="00E85701"/>
    <w:rsid w:val="00E87B9C"/>
    <w:rsid w:val="00EA3A3C"/>
    <w:rsid w:val="00EA7621"/>
    <w:rsid w:val="00EB232D"/>
    <w:rsid w:val="00EB2421"/>
    <w:rsid w:val="00EB40C5"/>
    <w:rsid w:val="00EB52ED"/>
    <w:rsid w:val="00EC329C"/>
    <w:rsid w:val="00ED1AE0"/>
    <w:rsid w:val="00ED2C0A"/>
    <w:rsid w:val="00ED5C0F"/>
    <w:rsid w:val="00EE2353"/>
    <w:rsid w:val="00EE26CF"/>
    <w:rsid w:val="00EE4861"/>
    <w:rsid w:val="00EF7AE7"/>
    <w:rsid w:val="00F014EC"/>
    <w:rsid w:val="00F01915"/>
    <w:rsid w:val="00F038CC"/>
    <w:rsid w:val="00F2244D"/>
    <w:rsid w:val="00F261CF"/>
    <w:rsid w:val="00F27E91"/>
    <w:rsid w:val="00F31F27"/>
    <w:rsid w:val="00F34E7D"/>
    <w:rsid w:val="00F367EF"/>
    <w:rsid w:val="00F36AB6"/>
    <w:rsid w:val="00F419D2"/>
    <w:rsid w:val="00F46227"/>
    <w:rsid w:val="00F50F76"/>
    <w:rsid w:val="00F52DC9"/>
    <w:rsid w:val="00F5307C"/>
    <w:rsid w:val="00F53909"/>
    <w:rsid w:val="00F570D7"/>
    <w:rsid w:val="00F67263"/>
    <w:rsid w:val="00F731F3"/>
    <w:rsid w:val="00F75831"/>
    <w:rsid w:val="00F82EF8"/>
    <w:rsid w:val="00F83457"/>
    <w:rsid w:val="00F83FC3"/>
    <w:rsid w:val="00F84FAE"/>
    <w:rsid w:val="00F8673D"/>
    <w:rsid w:val="00F9647B"/>
    <w:rsid w:val="00FA1340"/>
    <w:rsid w:val="00FA2435"/>
    <w:rsid w:val="00FA6495"/>
    <w:rsid w:val="00FA7769"/>
    <w:rsid w:val="00FC3224"/>
    <w:rsid w:val="00FC56AA"/>
    <w:rsid w:val="00FC7071"/>
    <w:rsid w:val="00FD04F1"/>
    <w:rsid w:val="00FD31BE"/>
    <w:rsid w:val="00FD355E"/>
    <w:rsid w:val="00FD480A"/>
    <w:rsid w:val="00FD5BAC"/>
    <w:rsid w:val="00FE50F3"/>
    <w:rsid w:val="00FE5C00"/>
    <w:rsid w:val="00FF2E53"/>
    <w:rsid w:val="00FF4897"/>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6850"/>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DC1D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legislature.gov/laws/statutes.php?statute=44-350" TargetMode="External"/><Relationship Id="rId13" Type="http://schemas.openxmlformats.org/officeDocument/2006/relationships/hyperlink" Target="https://nebraskalegislature.gov/laws/statutes.php?statute=44-1607&amp;print=true" TargetMode="External"/><Relationship Id="rId18" Type="http://schemas.openxmlformats.org/officeDocument/2006/relationships/hyperlink" Target="https://nebraskalegislature.gov/laws/statutes.php?statute=44-371" TargetMode="External"/><Relationship Id="rId26" Type="http://schemas.openxmlformats.org/officeDocument/2006/relationships/hyperlink" Target="https://nebraskalegislature.gov/laws/statutes.php?statute=44-402.03&amp;print=tru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ebraskalegislature.gov/laws/statutes.php?statute=44-354" TargetMode="External"/><Relationship Id="rId34" Type="http://schemas.openxmlformats.org/officeDocument/2006/relationships/hyperlink" Target="https://doi.nebraska.gov/sites/doi.nebraska.gov/files/doc/n69draft_2010_05_06.pdf"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ebraskalegislature.gov/laws/statutes.php?statute=44-1607&amp;print=true" TargetMode="External"/><Relationship Id="rId17" Type="http://schemas.openxmlformats.org/officeDocument/2006/relationships/hyperlink" Target="https://nebraskalegislature.gov/laws/statutes.php?statute=44-370" TargetMode="External"/><Relationship Id="rId25" Type="http://schemas.openxmlformats.org/officeDocument/2006/relationships/hyperlink" Target="https://nebraskalegislature.gov/laws/statutes.php?statute=44-402.02&amp;print=true" TargetMode="External"/><Relationship Id="rId33" Type="http://schemas.openxmlformats.org/officeDocument/2006/relationships/hyperlink" Target="http://www.sos.ne.gov/rules-and-regs/regsearch/Rules/Insurance_Dept_of/Title-210/Chapter-80.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ebraskalegislature.gov/laws/statutes.php?statute=44-1607&amp;print=true" TargetMode="External"/><Relationship Id="rId20" Type="http://schemas.openxmlformats.org/officeDocument/2006/relationships/hyperlink" Target="https://nebraskalegislature.gov/laws/statutes.php?statute=25-2602.01" TargetMode="External"/><Relationship Id="rId29" Type="http://schemas.openxmlformats.org/officeDocument/2006/relationships/hyperlink" Target="http://www.sos.ne.gov/rules-and-regs/regsearch/Rules/Insurance_Dept_of/Title-210/Chapter-4.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legislature.gov/laws/statutes.php?statute=44-1601&amp;print=true" TargetMode="External"/><Relationship Id="rId24" Type="http://schemas.openxmlformats.org/officeDocument/2006/relationships/hyperlink" Target="https://nebraskalegislature.gov/laws/statutes.php?statute=44-402.01&amp;print=true" TargetMode="External"/><Relationship Id="rId32"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ebraskalegislature.gov/laws/statutes.php?statute=44-1607&amp;print=true" TargetMode="External"/><Relationship Id="rId23" Type="http://schemas.openxmlformats.org/officeDocument/2006/relationships/hyperlink" Target="http://www.sos.ne.gov/rules-and-regs/regsearch/Rules/Insurance_Dept_of/Title-210/Chapter-80.pdf" TargetMode="External"/><Relationship Id="rId28" Type="http://schemas.openxmlformats.org/officeDocument/2006/relationships/hyperlink" Target="https://nebraskalegislature.gov/laws/statutes.php?statute=44-708&amp;print=true" TargetMode="External"/><Relationship Id="rId36" Type="http://schemas.openxmlformats.org/officeDocument/2006/relationships/hyperlink" Target="https://nebraskalegislature.gov/laws/statutes.php?statute=44-3404" TargetMode="External"/><Relationship Id="rId10" Type="http://schemas.openxmlformats.org/officeDocument/2006/relationships/hyperlink" Target="https://www.naic.org/store/free/MDL-200.pdf" TargetMode="External"/><Relationship Id="rId19" Type="http://schemas.openxmlformats.org/officeDocument/2006/relationships/hyperlink" Target="https://nebraskalegislature.gov/laws/statutes.php?statute=44-511" TargetMode="External"/><Relationship Id="rId31"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braskalegislature.gov/laws/statutes.php?statute=44-701" TargetMode="External"/><Relationship Id="rId14" Type="http://schemas.openxmlformats.org/officeDocument/2006/relationships/hyperlink" Target="https://nebraskalegislature.gov/laws/statutes.php?statute=44-1607&amp;print=true" TargetMode="External"/><Relationship Id="rId22" Type="http://schemas.openxmlformats.org/officeDocument/2006/relationships/hyperlink" Target="http://www.sos.ne.gov/rules-and-regs/regsearch/Rules/Insurance_Dept_of/Title-210/Chapter-50.pdf" TargetMode="External"/><Relationship Id="rId27" Type="http://schemas.openxmlformats.org/officeDocument/2006/relationships/hyperlink" Target="https://nebraskalegislature.gov/laws/statutes.php?statute=44-402.04&amp;print=true" TargetMode="External"/><Relationship Id="rId30" Type="http://schemas.openxmlformats.org/officeDocument/2006/relationships/hyperlink" Target="https://gcc02.safelinks.protection.outlook.com/?url=https%3A%2F%2Fwww.nebraskalegislature.gov%2Flaws%2Fstatutes.php%3Fstatute%3D44-315&amp;data=04%7C01%7CMaggie.Reinert%40nebraska.gov%7C5fd8245658dd4acc55b908d9f0a1a6ef%7C043207dfe6894bf6902001038f11f0b1%7C0%7C0%7C637805399347431733%7CUnknown%7CTWFpbGZsb3d8eyJWIjoiMC4wLjAwMDAiLCJQIjoiV2luMzIiLCJBTiI6Ik1haWwiLCJXVCI6Mn0%3D%7C3000&amp;sdata=mJRZQE36Yra%2FkZRiYR%2FUSlrSELpAgaJQTRv%2BLRSr7OY%3D&amp;reserved=0" TargetMode="External"/><Relationship Id="rId35" Type="http://schemas.openxmlformats.org/officeDocument/2006/relationships/hyperlink" Target="https://nebraskalegislature.gov/laws/statutes.php?statute=44-340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4C1F4-7468-4D94-BB8E-199D9199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Reinert, Maggie</cp:lastModifiedBy>
  <cp:revision>22</cp:revision>
  <dcterms:created xsi:type="dcterms:W3CDTF">2019-05-10T19:50:00Z</dcterms:created>
  <dcterms:modified xsi:type="dcterms:W3CDTF">2022-02-15T20:32:00Z</dcterms:modified>
</cp:coreProperties>
</file>