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60ACF" w14:textId="2FD3F8C1" w:rsidR="009938AD" w:rsidRPr="00A0019E" w:rsidRDefault="00A0019E" w:rsidP="009938AD">
      <w:pPr>
        <w:jc w:val="center"/>
        <w:rPr>
          <w:rStyle w:val="Heading5Char"/>
          <w:rFonts w:asciiTheme="minorHAnsi" w:eastAsiaTheme="minorHAnsi" w:hAnsiTheme="minorHAnsi" w:cstheme="minorBidi"/>
          <w:color w:val="auto"/>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65853AFC" w14:textId="466174DE" w:rsidR="00D50088" w:rsidRPr="00D068DC" w:rsidRDefault="00186206" w:rsidP="00186206">
      <w:pPr>
        <w:pStyle w:val="ListParagraph"/>
        <w:numPr>
          <w:ilvl w:val="0"/>
          <w:numId w:val="6"/>
        </w:numPr>
        <w:rPr>
          <w:sz w:val="21"/>
          <w:szCs w:val="21"/>
        </w:rPr>
      </w:pPr>
      <w:r w:rsidRPr="00186206">
        <w:rPr>
          <w:rFonts w:ascii="Verdana" w:hAnsi="Verdana"/>
          <w:color w:val="000000"/>
          <w:sz w:val="17"/>
          <w:szCs w:val="17"/>
          <w:shd w:val="clear" w:color="auto" w:fill="FFFFFF"/>
        </w:rPr>
        <w:t xml:space="preserve">A08G Group Annuities </w:t>
      </w:r>
      <w:r w:rsidR="00596885">
        <w:rPr>
          <w:rFonts w:ascii="Verdana" w:hAnsi="Verdana"/>
          <w:color w:val="000000"/>
          <w:sz w:val="17"/>
          <w:szCs w:val="17"/>
          <w:shd w:val="clear" w:color="auto" w:fill="FFFFFF"/>
        </w:rPr>
        <w:t>–</w:t>
      </w:r>
      <w:r w:rsidRPr="00186206">
        <w:rPr>
          <w:rFonts w:ascii="Verdana" w:hAnsi="Verdana"/>
          <w:color w:val="000000"/>
          <w:sz w:val="17"/>
          <w:szCs w:val="17"/>
          <w:shd w:val="clear" w:color="auto" w:fill="FFFFFF"/>
        </w:rPr>
        <w:t xml:space="preserve"> Unallocated</w:t>
      </w:r>
    </w:p>
    <w:p w14:paraId="23CD44D0" w14:textId="6B92C193" w:rsidR="00D068DC" w:rsidRPr="00D068DC" w:rsidRDefault="00D068DC" w:rsidP="00186206">
      <w:pPr>
        <w:pStyle w:val="ListParagraph"/>
        <w:numPr>
          <w:ilvl w:val="0"/>
          <w:numId w:val="6"/>
        </w:numPr>
        <w:rPr>
          <w:sz w:val="21"/>
          <w:szCs w:val="21"/>
        </w:rPr>
      </w:pPr>
      <w:r w:rsidRPr="00D068DC">
        <w:rPr>
          <w:rFonts w:ascii="Verdana" w:hAnsi="Verdana"/>
          <w:color w:val="000000"/>
          <w:sz w:val="17"/>
          <w:szCs w:val="17"/>
          <w:shd w:val="clear" w:color="auto" w:fill="FFFFFF"/>
        </w:rPr>
        <w:t>Other TOIs may apply.</w:t>
      </w:r>
    </w:p>
    <w:p w14:paraId="147EFF87" w14:textId="31553122" w:rsidR="00596885" w:rsidRDefault="00596885" w:rsidP="00596885">
      <w:pPr>
        <w:pStyle w:val="ListParagraph"/>
        <w:rPr>
          <w:rFonts w:ascii="Verdana" w:hAnsi="Verdana"/>
          <w:color w:val="000000"/>
          <w:sz w:val="17"/>
          <w:szCs w:val="17"/>
          <w:shd w:val="clear" w:color="auto" w:fill="FFFFFF"/>
        </w:rPr>
      </w:pPr>
    </w:p>
    <w:p w14:paraId="6DBDC027" w14:textId="77777777" w:rsidR="006202A9" w:rsidRDefault="006202A9" w:rsidP="006202A9">
      <w:pPr>
        <w:rPr>
          <w:sz w:val="21"/>
          <w:szCs w:val="21"/>
        </w:rPr>
      </w:pPr>
      <w:r>
        <w:rPr>
          <w:sz w:val="21"/>
          <w:szCs w:val="21"/>
        </w:rPr>
        <w:t>Please note that the Department views guaranteed investment contracts, including synthetic, as a type of life insurance and applies life insurance standards to these products.</w:t>
      </w:r>
    </w:p>
    <w:p w14:paraId="0AB105D9" w14:textId="78F4F090" w:rsidR="00E754EB" w:rsidRDefault="00E754EB" w:rsidP="00E754EB">
      <w:pPr>
        <w:pStyle w:val="ListParagraph"/>
        <w:ind w:left="0"/>
        <w:rPr>
          <w:rFonts w:ascii="Verdana" w:hAnsi="Verdana"/>
          <w:color w:val="000000"/>
          <w:sz w:val="17"/>
          <w:szCs w:val="17"/>
          <w:shd w:val="clear" w:color="auto" w:fill="FFFFFF"/>
        </w:rPr>
      </w:pPr>
      <w:r>
        <w:rPr>
          <w:rFonts w:ascii="Verdana" w:hAnsi="Verdana"/>
          <w:color w:val="000000"/>
          <w:sz w:val="17"/>
          <w:szCs w:val="17"/>
          <w:shd w:val="clear" w:color="auto" w:fill="FFFFFF"/>
        </w:rPr>
        <w:t>Nebraska uses NAIC Model 200 to review non-synthetic Guaranteed Investment Contracts and the associated Plan of Operations.</w:t>
      </w:r>
    </w:p>
    <w:tbl>
      <w:tblPr>
        <w:tblStyle w:val="TableGrid"/>
        <w:tblW w:w="0" w:type="auto"/>
        <w:tblLook w:val="04A0" w:firstRow="1" w:lastRow="0" w:firstColumn="1" w:lastColumn="0" w:noHBand="0" w:noVBand="1"/>
      </w:tblPr>
      <w:tblGrid>
        <w:gridCol w:w="1092"/>
        <w:gridCol w:w="82"/>
        <w:gridCol w:w="2233"/>
        <w:gridCol w:w="105"/>
        <w:gridCol w:w="1387"/>
        <w:gridCol w:w="193"/>
        <w:gridCol w:w="2882"/>
        <w:gridCol w:w="124"/>
        <w:gridCol w:w="1252"/>
      </w:tblGrid>
      <w:tr w:rsidR="00796D1D" w:rsidRPr="00A0019E" w14:paraId="4B2CDDDB" w14:textId="77777777" w:rsidTr="00796D1D">
        <w:tc>
          <w:tcPr>
            <w:tcW w:w="1174" w:type="dxa"/>
            <w:gridSpan w:val="2"/>
            <w:shd w:val="clear" w:color="auto" w:fill="E7E6E6" w:themeFill="background2"/>
          </w:tcPr>
          <w:p w14:paraId="66F34913" w14:textId="77777777" w:rsidR="00796D1D" w:rsidRPr="00A0019E" w:rsidRDefault="00796D1D" w:rsidP="003C6597">
            <w:pPr>
              <w:rPr>
                <w:b/>
                <w:sz w:val="21"/>
                <w:szCs w:val="21"/>
              </w:rPr>
            </w:pPr>
          </w:p>
        </w:tc>
        <w:tc>
          <w:tcPr>
            <w:tcW w:w="8176" w:type="dxa"/>
            <w:gridSpan w:val="7"/>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796D1D">
        <w:tc>
          <w:tcPr>
            <w:tcW w:w="1174" w:type="dxa"/>
            <w:gridSpan w:val="2"/>
            <w:shd w:val="clear" w:color="auto" w:fill="FFFFFF" w:themeFill="background1"/>
          </w:tcPr>
          <w:p w14:paraId="2DDACA86" w14:textId="01D048E5" w:rsidR="00796D1D" w:rsidRPr="00796D1D" w:rsidRDefault="00796D1D" w:rsidP="00694250">
            <w:pPr>
              <w:rPr>
                <w:sz w:val="21"/>
                <w:szCs w:val="21"/>
              </w:rPr>
            </w:pPr>
          </w:p>
        </w:tc>
        <w:tc>
          <w:tcPr>
            <w:tcW w:w="6800" w:type="dxa"/>
            <w:gridSpan w:val="5"/>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376" w:type="dxa"/>
            <w:gridSpan w:val="2"/>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0019E" w:rsidRPr="00A0019E" w14:paraId="21C74274" w14:textId="77777777" w:rsidTr="008A0525">
        <w:tc>
          <w:tcPr>
            <w:tcW w:w="1174" w:type="dxa"/>
            <w:gridSpan w:val="2"/>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2338" w:type="dxa"/>
            <w:gridSpan w:val="2"/>
            <w:shd w:val="clear" w:color="auto" w:fill="E7E6E6" w:themeFill="background2"/>
          </w:tcPr>
          <w:p w14:paraId="0B08ECBE" w14:textId="53E1CEB2" w:rsidR="00BC3756" w:rsidRPr="00A0019E" w:rsidRDefault="00BC3756" w:rsidP="00781F1E">
            <w:pPr>
              <w:rPr>
                <w:b/>
                <w:sz w:val="21"/>
                <w:szCs w:val="21"/>
              </w:rPr>
            </w:pPr>
            <w:r w:rsidRPr="00A0019E">
              <w:rPr>
                <w:b/>
                <w:sz w:val="21"/>
                <w:szCs w:val="21"/>
              </w:rPr>
              <w:t>Review Requirements</w:t>
            </w:r>
          </w:p>
        </w:tc>
        <w:tc>
          <w:tcPr>
            <w:tcW w:w="1387" w:type="dxa"/>
            <w:shd w:val="clear" w:color="auto" w:fill="E7E6E6" w:themeFill="background2"/>
          </w:tcPr>
          <w:p w14:paraId="706EF8E8" w14:textId="77777777" w:rsidR="00BC3756" w:rsidRPr="00A0019E" w:rsidRDefault="00BC3756" w:rsidP="00781F1E">
            <w:pPr>
              <w:rPr>
                <w:b/>
                <w:sz w:val="21"/>
                <w:szCs w:val="21"/>
              </w:rPr>
            </w:pPr>
            <w:r w:rsidRPr="00A0019E">
              <w:rPr>
                <w:b/>
                <w:sz w:val="21"/>
                <w:szCs w:val="21"/>
              </w:rPr>
              <w:t>Reference</w:t>
            </w:r>
          </w:p>
        </w:tc>
        <w:tc>
          <w:tcPr>
            <w:tcW w:w="3075" w:type="dxa"/>
            <w:gridSpan w:val="2"/>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1376" w:type="dxa"/>
            <w:gridSpan w:val="2"/>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796D1D">
        <w:tc>
          <w:tcPr>
            <w:tcW w:w="1174" w:type="dxa"/>
            <w:gridSpan w:val="2"/>
            <w:shd w:val="clear" w:color="auto" w:fill="E7E6E6" w:themeFill="background2"/>
          </w:tcPr>
          <w:p w14:paraId="44408130" w14:textId="4D0DA8E1" w:rsidR="003C6597" w:rsidRPr="00A0019E" w:rsidRDefault="003C6597" w:rsidP="00781F1E">
            <w:pPr>
              <w:rPr>
                <w:b/>
                <w:sz w:val="21"/>
                <w:szCs w:val="21"/>
              </w:rPr>
            </w:pPr>
          </w:p>
        </w:tc>
        <w:tc>
          <w:tcPr>
            <w:tcW w:w="8176" w:type="dxa"/>
            <w:gridSpan w:val="7"/>
            <w:shd w:val="clear" w:color="auto" w:fill="E7E6E6" w:themeFill="background2"/>
          </w:tcPr>
          <w:p w14:paraId="123BA837" w14:textId="19598C3B" w:rsidR="003C6597" w:rsidRPr="00A0019E" w:rsidRDefault="003C6597" w:rsidP="00781F1E">
            <w:pPr>
              <w:rPr>
                <w:sz w:val="21"/>
                <w:szCs w:val="21"/>
              </w:rPr>
            </w:pPr>
            <w:r w:rsidRPr="00A0019E">
              <w:rPr>
                <w:b/>
                <w:sz w:val="21"/>
                <w:szCs w:val="21"/>
              </w:rPr>
              <w:t>COVER PAGE</w:t>
            </w:r>
          </w:p>
        </w:tc>
      </w:tr>
      <w:tr w:rsidR="00A0019E" w:rsidRPr="00A0019E" w14:paraId="5CAC40A6" w14:textId="77777777" w:rsidTr="008A0525">
        <w:tc>
          <w:tcPr>
            <w:tcW w:w="1174" w:type="dxa"/>
            <w:gridSpan w:val="2"/>
          </w:tcPr>
          <w:p w14:paraId="5F5F836A" w14:textId="7E370AB5" w:rsidR="00BC3756" w:rsidRPr="00A0019E" w:rsidRDefault="00BC3756" w:rsidP="001270E9">
            <w:pPr>
              <w:rPr>
                <w:sz w:val="21"/>
                <w:szCs w:val="21"/>
              </w:rPr>
            </w:pPr>
            <w:r w:rsidRPr="00A0019E">
              <w:rPr>
                <w:sz w:val="21"/>
                <w:szCs w:val="21"/>
              </w:rPr>
              <w:sym w:font="Wingdings" w:char="F06F"/>
            </w:r>
          </w:p>
        </w:tc>
        <w:tc>
          <w:tcPr>
            <w:tcW w:w="2338" w:type="dxa"/>
            <w:gridSpan w:val="2"/>
          </w:tcPr>
          <w:p w14:paraId="424A8492" w14:textId="79A8E4D4" w:rsidR="00BC3756" w:rsidRPr="00EC39E0" w:rsidRDefault="00BC3756" w:rsidP="001270E9">
            <w:pPr>
              <w:rPr>
                <w:sz w:val="21"/>
                <w:szCs w:val="21"/>
              </w:rPr>
            </w:pPr>
            <w:r w:rsidRPr="00EC39E0">
              <w:rPr>
                <w:sz w:val="21"/>
                <w:szCs w:val="21"/>
              </w:rPr>
              <w:t>Full Company name and address</w:t>
            </w:r>
          </w:p>
        </w:tc>
        <w:tc>
          <w:tcPr>
            <w:tcW w:w="1387" w:type="dxa"/>
          </w:tcPr>
          <w:p w14:paraId="3FCCB5C6" w14:textId="66DC95E6" w:rsidR="00BC3756" w:rsidRPr="00EC39E0" w:rsidRDefault="00F61BD1" w:rsidP="001270E9">
            <w:pPr>
              <w:rPr>
                <w:sz w:val="21"/>
                <w:szCs w:val="21"/>
              </w:rPr>
            </w:pPr>
            <w:hyperlink r:id="rId8" w:history="1">
              <w:r w:rsidR="00BC3756" w:rsidRPr="00EC39E0">
                <w:rPr>
                  <w:rStyle w:val="Hyperlink"/>
                  <w:sz w:val="21"/>
                  <w:szCs w:val="21"/>
                </w:rPr>
                <w:t>§ 44-350</w:t>
              </w:r>
            </w:hyperlink>
          </w:p>
        </w:tc>
        <w:tc>
          <w:tcPr>
            <w:tcW w:w="3075" w:type="dxa"/>
            <w:gridSpan w:val="2"/>
          </w:tcPr>
          <w:p w14:paraId="2B663384" w14:textId="77777777" w:rsidR="00BC3756" w:rsidRPr="00EC39E0" w:rsidRDefault="00BC3756" w:rsidP="001270E9">
            <w:pPr>
              <w:rPr>
                <w:sz w:val="21"/>
                <w:szCs w:val="21"/>
              </w:rPr>
            </w:pPr>
            <w:r w:rsidRPr="00EC39E0">
              <w:rPr>
                <w:sz w:val="21"/>
                <w:szCs w:val="21"/>
              </w:rPr>
              <w:t>Advisable to include contact phone and email for questions.</w:t>
            </w:r>
          </w:p>
        </w:tc>
        <w:tc>
          <w:tcPr>
            <w:tcW w:w="1376" w:type="dxa"/>
            <w:gridSpan w:val="2"/>
          </w:tcPr>
          <w:p w14:paraId="0AD3067B" w14:textId="77777777" w:rsidR="00BC3756" w:rsidRPr="00A0019E" w:rsidRDefault="00BC3756" w:rsidP="001270E9">
            <w:pPr>
              <w:rPr>
                <w:sz w:val="21"/>
                <w:szCs w:val="21"/>
              </w:rPr>
            </w:pPr>
          </w:p>
        </w:tc>
      </w:tr>
      <w:tr w:rsidR="00A0019E" w:rsidRPr="00A0019E" w14:paraId="447BA7E6" w14:textId="77777777" w:rsidTr="008A0525">
        <w:tc>
          <w:tcPr>
            <w:tcW w:w="1174" w:type="dxa"/>
            <w:gridSpan w:val="2"/>
          </w:tcPr>
          <w:p w14:paraId="6E36DCC7" w14:textId="461E74F1" w:rsidR="00BC3756" w:rsidRPr="00A0019E" w:rsidRDefault="00F2244D" w:rsidP="001270E9">
            <w:pPr>
              <w:rPr>
                <w:sz w:val="21"/>
                <w:szCs w:val="21"/>
              </w:rPr>
            </w:pPr>
            <w:r w:rsidRPr="00A0019E">
              <w:rPr>
                <w:sz w:val="21"/>
                <w:szCs w:val="21"/>
              </w:rPr>
              <w:sym w:font="Wingdings" w:char="F06F"/>
            </w:r>
          </w:p>
        </w:tc>
        <w:tc>
          <w:tcPr>
            <w:tcW w:w="2338" w:type="dxa"/>
            <w:gridSpan w:val="2"/>
          </w:tcPr>
          <w:p w14:paraId="3C2EF60F" w14:textId="0C27CED8" w:rsidR="00BC3756" w:rsidRPr="00EC39E0" w:rsidRDefault="00BC3756" w:rsidP="001270E9">
            <w:pPr>
              <w:rPr>
                <w:sz w:val="21"/>
                <w:szCs w:val="21"/>
              </w:rPr>
            </w:pPr>
            <w:r w:rsidRPr="00EC39E0">
              <w:rPr>
                <w:sz w:val="21"/>
                <w:szCs w:val="21"/>
              </w:rPr>
              <w:t>Descriptive title</w:t>
            </w:r>
          </w:p>
        </w:tc>
        <w:tc>
          <w:tcPr>
            <w:tcW w:w="1387" w:type="dxa"/>
          </w:tcPr>
          <w:p w14:paraId="70A27A48" w14:textId="77E190D8" w:rsidR="00BC3756" w:rsidRPr="00EC39E0" w:rsidRDefault="006202A9" w:rsidP="001270E9">
            <w:pPr>
              <w:rPr>
                <w:sz w:val="21"/>
                <w:szCs w:val="21"/>
              </w:rPr>
            </w:pPr>
            <w:r w:rsidRPr="00A0019E">
              <w:rPr>
                <w:sz w:val="21"/>
                <w:szCs w:val="21"/>
              </w:rPr>
              <w:t>NE Filing Requirement</w:t>
            </w:r>
          </w:p>
        </w:tc>
        <w:tc>
          <w:tcPr>
            <w:tcW w:w="3075" w:type="dxa"/>
            <w:gridSpan w:val="2"/>
          </w:tcPr>
          <w:p w14:paraId="243A1E62" w14:textId="77777777" w:rsidR="00BC3756" w:rsidRPr="00EC39E0" w:rsidRDefault="00BC3756" w:rsidP="001270E9">
            <w:pPr>
              <w:rPr>
                <w:rFonts w:cstheme="minorHAnsi"/>
                <w:sz w:val="21"/>
                <w:szCs w:val="21"/>
              </w:rPr>
            </w:pPr>
            <w:r w:rsidRPr="00EC39E0">
              <w:rPr>
                <w:rFonts w:cstheme="minorHAnsi"/>
                <w:color w:val="333333"/>
                <w:sz w:val="21"/>
                <w:szCs w:val="21"/>
                <w:lang w:val="en"/>
              </w:rPr>
              <w:t xml:space="preserve">A brief description of the type of annuity. </w:t>
            </w:r>
          </w:p>
        </w:tc>
        <w:tc>
          <w:tcPr>
            <w:tcW w:w="1376" w:type="dxa"/>
            <w:gridSpan w:val="2"/>
          </w:tcPr>
          <w:p w14:paraId="64AC63C0" w14:textId="77777777" w:rsidR="00BC3756" w:rsidRPr="00A0019E" w:rsidRDefault="00BC3756" w:rsidP="001270E9">
            <w:pPr>
              <w:rPr>
                <w:sz w:val="21"/>
                <w:szCs w:val="21"/>
              </w:rPr>
            </w:pPr>
          </w:p>
        </w:tc>
      </w:tr>
      <w:tr w:rsidR="00A0019E" w:rsidRPr="00A0019E" w14:paraId="666BD0AB" w14:textId="77777777" w:rsidTr="008A0525">
        <w:tc>
          <w:tcPr>
            <w:tcW w:w="1174" w:type="dxa"/>
            <w:gridSpan w:val="2"/>
          </w:tcPr>
          <w:p w14:paraId="00C0B240" w14:textId="5FD9653F" w:rsidR="00BC3756" w:rsidRPr="00A0019E" w:rsidRDefault="00F2244D" w:rsidP="000A4A79">
            <w:pPr>
              <w:rPr>
                <w:sz w:val="21"/>
                <w:szCs w:val="21"/>
              </w:rPr>
            </w:pPr>
            <w:r w:rsidRPr="00A0019E">
              <w:rPr>
                <w:sz w:val="21"/>
                <w:szCs w:val="21"/>
              </w:rPr>
              <w:sym w:font="Wingdings" w:char="F06F"/>
            </w:r>
          </w:p>
        </w:tc>
        <w:tc>
          <w:tcPr>
            <w:tcW w:w="2338" w:type="dxa"/>
            <w:gridSpan w:val="2"/>
          </w:tcPr>
          <w:p w14:paraId="283DD12D" w14:textId="49C0B3DB" w:rsidR="00BC3756" w:rsidRPr="00EC39E0" w:rsidRDefault="00BC3756" w:rsidP="000A4A79">
            <w:pPr>
              <w:rPr>
                <w:sz w:val="21"/>
                <w:szCs w:val="21"/>
              </w:rPr>
            </w:pPr>
            <w:r w:rsidRPr="00EC39E0">
              <w:rPr>
                <w:sz w:val="21"/>
                <w:szCs w:val="21"/>
              </w:rPr>
              <w:t>Two officers’ signatures required on face page</w:t>
            </w:r>
          </w:p>
        </w:tc>
        <w:tc>
          <w:tcPr>
            <w:tcW w:w="1387" w:type="dxa"/>
          </w:tcPr>
          <w:p w14:paraId="668E8363" w14:textId="77777777" w:rsidR="00BC3756" w:rsidRPr="00EC39E0" w:rsidRDefault="00F61BD1" w:rsidP="00C104DE">
            <w:pPr>
              <w:rPr>
                <w:sz w:val="21"/>
                <w:szCs w:val="21"/>
              </w:rPr>
            </w:pPr>
            <w:hyperlink r:id="rId9" w:history="1">
              <w:r w:rsidR="00BC3756" w:rsidRPr="00EC39E0">
                <w:rPr>
                  <w:rStyle w:val="Hyperlink"/>
                  <w:sz w:val="21"/>
                  <w:szCs w:val="21"/>
                </w:rPr>
                <w:t>§44-701</w:t>
              </w:r>
            </w:hyperlink>
          </w:p>
        </w:tc>
        <w:tc>
          <w:tcPr>
            <w:tcW w:w="3075" w:type="dxa"/>
            <w:gridSpan w:val="2"/>
          </w:tcPr>
          <w:p w14:paraId="04535738" w14:textId="77777777" w:rsidR="00BC3756" w:rsidRPr="00EC39E0" w:rsidRDefault="00BC3756" w:rsidP="00C839BE">
            <w:pPr>
              <w:rPr>
                <w:sz w:val="21"/>
                <w:szCs w:val="21"/>
              </w:rPr>
            </w:pPr>
            <w:r w:rsidRPr="00EC39E0">
              <w:rPr>
                <w:sz w:val="21"/>
                <w:szCs w:val="21"/>
              </w:rPr>
              <w:t>Can be bracketed as variable for future replacement of officers.</w:t>
            </w:r>
          </w:p>
        </w:tc>
        <w:tc>
          <w:tcPr>
            <w:tcW w:w="1376" w:type="dxa"/>
            <w:gridSpan w:val="2"/>
          </w:tcPr>
          <w:p w14:paraId="0C45A230" w14:textId="77777777" w:rsidR="00BC3756" w:rsidRPr="00A0019E" w:rsidRDefault="00BC3756" w:rsidP="00C104DE">
            <w:pPr>
              <w:rPr>
                <w:sz w:val="21"/>
                <w:szCs w:val="21"/>
              </w:rPr>
            </w:pPr>
          </w:p>
        </w:tc>
      </w:tr>
      <w:tr w:rsidR="00A0019E" w:rsidRPr="00A0019E" w14:paraId="3DC74881" w14:textId="77777777" w:rsidTr="008A0525">
        <w:tc>
          <w:tcPr>
            <w:tcW w:w="1174" w:type="dxa"/>
            <w:gridSpan w:val="2"/>
          </w:tcPr>
          <w:p w14:paraId="090B74B8" w14:textId="536AE0D8" w:rsidR="00F2244D" w:rsidRPr="00A0019E" w:rsidRDefault="00F2244D" w:rsidP="00F2244D">
            <w:pPr>
              <w:rPr>
                <w:sz w:val="21"/>
                <w:szCs w:val="21"/>
              </w:rPr>
            </w:pPr>
            <w:r w:rsidRPr="00A0019E">
              <w:rPr>
                <w:sz w:val="21"/>
                <w:szCs w:val="21"/>
              </w:rPr>
              <w:sym w:font="Wingdings" w:char="F06F"/>
            </w:r>
          </w:p>
        </w:tc>
        <w:tc>
          <w:tcPr>
            <w:tcW w:w="2338" w:type="dxa"/>
            <w:gridSpan w:val="2"/>
          </w:tcPr>
          <w:p w14:paraId="089A523B" w14:textId="5A5BA666" w:rsidR="00F2244D" w:rsidRPr="00EC39E0" w:rsidRDefault="00F2244D" w:rsidP="00F2244D">
            <w:pPr>
              <w:rPr>
                <w:sz w:val="21"/>
                <w:szCs w:val="21"/>
              </w:rPr>
            </w:pPr>
            <w:r w:rsidRPr="00EC39E0">
              <w:rPr>
                <w:sz w:val="21"/>
                <w:szCs w:val="21"/>
              </w:rPr>
              <w:t>Form number</w:t>
            </w:r>
          </w:p>
        </w:tc>
        <w:tc>
          <w:tcPr>
            <w:tcW w:w="1387" w:type="dxa"/>
          </w:tcPr>
          <w:p w14:paraId="23515390" w14:textId="77777777" w:rsidR="00F2244D" w:rsidRPr="00EC39E0" w:rsidRDefault="00F2244D" w:rsidP="00F2244D">
            <w:pPr>
              <w:rPr>
                <w:sz w:val="21"/>
                <w:szCs w:val="21"/>
              </w:rPr>
            </w:pPr>
            <w:r w:rsidRPr="00EC39E0">
              <w:rPr>
                <w:sz w:val="21"/>
                <w:szCs w:val="21"/>
              </w:rPr>
              <w:t>NE Filing Requirement</w:t>
            </w:r>
          </w:p>
        </w:tc>
        <w:tc>
          <w:tcPr>
            <w:tcW w:w="3075" w:type="dxa"/>
            <w:gridSpan w:val="2"/>
          </w:tcPr>
          <w:p w14:paraId="01FF82A6" w14:textId="77777777" w:rsidR="00F2244D" w:rsidRPr="00EC39E0" w:rsidRDefault="00F2244D" w:rsidP="00F2244D">
            <w:pPr>
              <w:rPr>
                <w:sz w:val="21"/>
                <w:szCs w:val="21"/>
              </w:rPr>
            </w:pPr>
            <w:r w:rsidRPr="00EC39E0">
              <w:rPr>
                <w:sz w:val="21"/>
                <w:szCs w:val="21"/>
              </w:rPr>
              <w:t>Must be on all pages including cover, in the lower left corner to identify and distinguish form from all others used by company. Must match form number on SERFF Form Schedule tab and NE Filing Form List</w:t>
            </w:r>
          </w:p>
        </w:tc>
        <w:tc>
          <w:tcPr>
            <w:tcW w:w="1376" w:type="dxa"/>
            <w:gridSpan w:val="2"/>
          </w:tcPr>
          <w:p w14:paraId="4243CAC9" w14:textId="77777777" w:rsidR="00F2244D" w:rsidRPr="00A0019E" w:rsidRDefault="00F2244D" w:rsidP="00F2244D">
            <w:pPr>
              <w:rPr>
                <w:sz w:val="21"/>
                <w:szCs w:val="21"/>
              </w:rPr>
            </w:pPr>
          </w:p>
        </w:tc>
      </w:tr>
      <w:tr w:rsidR="00BC3756" w:rsidRPr="00A0019E" w14:paraId="322F4593" w14:textId="77777777" w:rsidTr="00595692">
        <w:tc>
          <w:tcPr>
            <w:tcW w:w="1092" w:type="dxa"/>
            <w:shd w:val="clear" w:color="auto" w:fill="E7E6E6" w:themeFill="background2"/>
          </w:tcPr>
          <w:p w14:paraId="08E60DE7" w14:textId="76A497FB" w:rsidR="00BC3756" w:rsidRPr="00A0019E" w:rsidRDefault="00596885" w:rsidP="004B333B">
            <w:pPr>
              <w:rPr>
                <w:b/>
                <w:sz w:val="21"/>
                <w:szCs w:val="21"/>
              </w:rPr>
            </w:pPr>
            <w:r>
              <w:br w:type="page"/>
            </w:r>
          </w:p>
        </w:tc>
        <w:tc>
          <w:tcPr>
            <w:tcW w:w="8258" w:type="dxa"/>
            <w:gridSpan w:val="8"/>
            <w:shd w:val="clear" w:color="auto" w:fill="E7E6E6" w:themeFill="background2"/>
          </w:tcPr>
          <w:p w14:paraId="1B9159D0" w14:textId="49F0F3C3" w:rsidR="00BC3756" w:rsidRPr="00A0019E" w:rsidRDefault="00DD43DE" w:rsidP="00515327">
            <w:pPr>
              <w:rPr>
                <w:b/>
                <w:sz w:val="21"/>
                <w:szCs w:val="21"/>
              </w:rPr>
            </w:pPr>
            <w:r>
              <w:rPr>
                <w:b/>
                <w:sz w:val="21"/>
                <w:szCs w:val="21"/>
              </w:rPr>
              <w:t xml:space="preserve">Plan of Operation  </w:t>
            </w:r>
          </w:p>
        </w:tc>
      </w:tr>
      <w:tr w:rsidR="00DC2EEC" w:rsidRPr="00EC39E0" w14:paraId="5751C10A" w14:textId="77777777" w:rsidTr="00595692">
        <w:trPr>
          <w:trHeight w:val="2600"/>
        </w:trPr>
        <w:tc>
          <w:tcPr>
            <w:tcW w:w="1092" w:type="dxa"/>
          </w:tcPr>
          <w:p w14:paraId="10C42E7E" w14:textId="41292695" w:rsidR="00DC2EEC" w:rsidRPr="00EC39E0" w:rsidRDefault="00DC2EEC" w:rsidP="00DC2EEC">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51386480" w14:textId="078711A7" w:rsidR="00DC2EEC" w:rsidRPr="00EC39E0" w:rsidRDefault="00987E9D" w:rsidP="00DC2EEC">
            <w:pPr>
              <w:rPr>
                <w:rFonts w:cstheme="minorHAnsi"/>
                <w:sz w:val="21"/>
                <w:szCs w:val="21"/>
              </w:rPr>
            </w:pPr>
            <w:r w:rsidRPr="00EC39E0">
              <w:rPr>
                <w:rFonts w:cstheme="minorHAnsi"/>
                <w:sz w:val="21"/>
                <w:szCs w:val="21"/>
              </w:rPr>
              <w:t>Licensed Life Insure</w:t>
            </w:r>
            <w:r w:rsidR="0092571A">
              <w:rPr>
                <w:rFonts w:cstheme="minorHAnsi"/>
                <w:sz w:val="21"/>
                <w:szCs w:val="21"/>
              </w:rPr>
              <w:t>r</w:t>
            </w:r>
          </w:p>
        </w:tc>
        <w:tc>
          <w:tcPr>
            <w:tcW w:w="1685" w:type="dxa"/>
            <w:gridSpan w:val="3"/>
            <w:shd w:val="clear" w:color="auto" w:fill="FFFFFF" w:themeFill="background1"/>
          </w:tcPr>
          <w:p w14:paraId="7B745C56" w14:textId="2560C857" w:rsidR="00DC2EEC" w:rsidRPr="00EC39E0" w:rsidRDefault="00F61BD1" w:rsidP="0092571A">
            <w:pPr>
              <w:rPr>
                <w:rStyle w:val="Hyperlink"/>
                <w:rFonts w:cstheme="minorHAnsi"/>
                <w:sz w:val="21"/>
                <w:szCs w:val="21"/>
              </w:rPr>
            </w:pPr>
            <w:hyperlink r:id="rId10" w:history="1">
              <w:r w:rsidR="0092571A" w:rsidRPr="002D0A5D">
                <w:rPr>
                  <w:rStyle w:val="Hyperlink"/>
                  <w:rFonts w:cstheme="minorHAnsi"/>
                  <w:sz w:val="21"/>
                  <w:szCs w:val="21"/>
                </w:rPr>
                <w:t>NAIC Model 200 § 5</w:t>
              </w:r>
            </w:hyperlink>
          </w:p>
        </w:tc>
        <w:tc>
          <w:tcPr>
            <w:tcW w:w="3006" w:type="dxa"/>
            <w:gridSpan w:val="2"/>
            <w:shd w:val="clear" w:color="auto" w:fill="FFFFFF" w:themeFill="background1"/>
          </w:tcPr>
          <w:p w14:paraId="0FAD9C3B" w14:textId="77777777" w:rsidR="00F6798E" w:rsidRPr="00EC39E0" w:rsidRDefault="00F6798E" w:rsidP="00F6798E">
            <w:pPr>
              <w:autoSpaceDE w:val="0"/>
              <w:autoSpaceDN w:val="0"/>
              <w:adjustRightInd w:val="0"/>
              <w:rPr>
                <w:rFonts w:cstheme="minorHAnsi"/>
                <w:color w:val="010202"/>
                <w:sz w:val="21"/>
                <w:szCs w:val="21"/>
              </w:rPr>
            </w:pPr>
            <w:r w:rsidRPr="00EC39E0">
              <w:rPr>
                <w:rFonts w:cstheme="minorHAnsi"/>
                <w:color w:val="010202"/>
                <w:sz w:val="21"/>
                <w:szCs w:val="21"/>
              </w:rPr>
              <w:t>A contract may not be delivered or issued for delivery in this state unless the issuing</w:t>
            </w:r>
          </w:p>
          <w:p w14:paraId="3A074747" w14:textId="0768C6E7" w:rsidR="00DC2EEC" w:rsidRPr="00EC39E0" w:rsidRDefault="00F6798E" w:rsidP="00F6798E">
            <w:pPr>
              <w:rPr>
                <w:rFonts w:cstheme="minorHAnsi"/>
                <w:sz w:val="21"/>
                <w:szCs w:val="21"/>
              </w:rPr>
            </w:pPr>
            <w:proofErr w:type="gramStart"/>
            <w:r w:rsidRPr="00EC39E0">
              <w:rPr>
                <w:rFonts w:cstheme="minorHAnsi"/>
                <w:color w:val="010202"/>
                <w:sz w:val="21"/>
                <w:szCs w:val="21"/>
              </w:rPr>
              <w:t>insurer</w:t>
            </w:r>
            <w:proofErr w:type="gramEnd"/>
            <w:r w:rsidRPr="00EC39E0">
              <w:rPr>
                <w:rFonts w:cstheme="minorHAnsi"/>
                <w:color w:val="010202"/>
                <w:sz w:val="21"/>
                <w:szCs w:val="21"/>
              </w:rPr>
              <w:t xml:space="preserve"> is licensed as a life insurance company in this state</w:t>
            </w:r>
            <w:r w:rsidR="00A05366">
              <w:rPr>
                <w:rFonts w:cstheme="minorHAnsi"/>
                <w:color w:val="010202"/>
                <w:sz w:val="21"/>
                <w:szCs w:val="21"/>
              </w:rPr>
              <w:t>.</w:t>
            </w:r>
          </w:p>
        </w:tc>
        <w:tc>
          <w:tcPr>
            <w:tcW w:w="1252" w:type="dxa"/>
          </w:tcPr>
          <w:p w14:paraId="44464855" w14:textId="77777777" w:rsidR="00DC2EEC" w:rsidRPr="00EC39E0" w:rsidRDefault="00DC2EEC" w:rsidP="00DC2EEC">
            <w:pPr>
              <w:rPr>
                <w:rFonts w:cstheme="minorHAnsi"/>
                <w:color w:val="FF0000"/>
                <w:sz w:val="21"/>
                <w:szCs w:val="21"/>
              </w:rPr>
            </w:pPr>
          </w:p>
        </w:tc>
      </w:tr>
      <w:tr w:rsidR="00595692" w:rsidRPr="00EC39E0" w14:paraId="0E936A66" w14:textId="77777777" w:rsidTr="00595692">
        <w:trPr>
          <w:trHeight w:val="2600"/>
        </w:trPr>
        <w:tc>
          <w:tcPr>
            <w:tcW w:w="1092" w:type="dxa"/>
          </w:tcPr>
          <w:p w14:paraId="5F83C22E" w14:textId="2D8A1B35" w:rsidR="00595692" w:rsidRPr="00EC39E0" w:rsidRDefault="00595692" w:rsidP="00DC2EEC">
            <w:pPr>
              <w:rPr>
                <w:rFonts w:cstheme="minorHAnsi"/>
                <w:sz w:val="21"/>
                <w:szCs w:val="21"/>
              </w:rPr>
            </w:pPr>
            <w:r w:rsidRPr="00EC39E0">
              <w:rPr>
                <w:rFonts w:cstheme="minorHAnsi"/>
                <w:sz w:val="21"/>
                <w:szCs w:val="21"/>
              </w:rPr>
              <w:lastRenderedPageBreak/>
              <w:sym w:font="Wingdings" w:char="F06F"/>
            </w:r>
          </w:p>
        </w:tc>
        <w:tc>
          <w:tcPr>
            <w:tcW w:w="2315" w:type="dxa"/>
            <w:gridSpan w:val="2"/>
            <w:shd w:val="clear" w:color="auto" w:fill="FFFFFF" w:themeFill="background1"/>
          </w:tcPr>
          <w:p w14:paraId="5CBD4716" w14:textId="16525024" w:rsidR="00595692" w:rsidRPr="00EC39E0" w:rsidRDefault="00595692" w:rsidP="00DC2EEC">
            <w:pPr>
              <w:rPr>
                <w:rFonts w:cstheme="minorHAnsi"/>
                <w:sz w:val="21"/>
                <w:szCs w:val="21"/>
              </w:rPr>
            </w:pPr>
            <w:r>
              <w:rPr>
                <w:rFonts w:cstheme="minorHAnsi"/>
                <w:sz w:val="21"/>
                <w:szCs w:val="21"/>
              </w:rPr>
              <w:t>Description of the class of contracts</w:t>
            </w:r>
          </w:p>
        </w:tc>
        <w:tc>
          <w:tcPr>
            <w:tcW w:w="1685" w:type="dxa"/>
            <w:gridSpan w:val="3"/>
            <w:shd w:val="clear" w:color="auto" w:fill="FFFFFF" w:themeFill="background1"/>
          </w:tcPr>
          <w:p w14:paraId="645CF1CE" w14:textId="5AB16ADA" w:rsidR="00595692" w:rsidRDefault="00F61BD1" w:rsidP="0092571A">
            <w:pPr>
              <w:rPr>
                <w:rFonts w:cstheme="minorHAnsi"/>
                <w:sz w:val="21"/>
                <w:szCs w:val="21"/>
              </w:rPr>
            </w:pPr>
            <w:hyperlink r:id="rId11" w:history="1">
              <w:r w:rsidR="00595692" w:rsidRPr="00263CAC">
                <w:rPr>
                  <w:rStyle w:val="Hyperlink"/>
                  <w:rFonts w:cstheme="minorHAnsi"/>
                  <w:sz w:val="21"/>
                  <w:szCs w:val="21"/>
                </w:rPr>
                <w:t xml:space="preserve">NAIC Model 200 </w:t>
              </w:r>
              <w:r w:rsidR="00263CAC" w:rsidRPr="00263CAC">
                <w:rPr>
                  <w:rStyle w:val="Hyperlink"/>
                  <w:rFonts w:cstheme="minorHAnsi"/>
                  <w:sz w:val="21"/>
                  <w:szCs w:val="21"/>
                </w:rPr>
                <w:t>§ 5</w:t>
              </w:r>
              <w:r w:rsidR="00595692" w:rsidRPr="00263CAC">
                <w:rPr>
                  <w:rStyle w:val="Hyperlink"/>
                  <w:rFonts w:cstheme="minorHAnsi"/>
                  <w:sz w:val="21"/>
                  <w:szCs w:val="21"/>
                </w:rPr>
                <w:t>B(1)</w:t>
              </w:r>
            </w:hyperlink>
          </w:p>
        </w:tc>
        <w:tc>
          <w:tcPr>
            <w:tcW w:w="3006" w:type="dxa"/>
            <w:gridSpan w:val="2"/>
            <w:shd w:val="clear" w:color="auto" w:fill="FFFFFF" w:themeFill="background1"/>
          </w:tcPr>
          <w:p w14:paraId="5CB54B5E" w14:textId="36DBF560" w:rsidR="00595692" w:rsidRPr="00EC39E0" w:rsidRDefault="00595692" w:rsidP="00F6798E">
            <w:pPr>
              <w:autoSpaceDE w:val="0"/>
              <w:autoSpaceDN w:val="0"/>
              <w:adjustRightInd w:val="0"/>
              <w:rPr>
                <w:rFonts w:cstheme="minorHAnsi"/>
                <w:color w:val="010202"/>
                <w:sz w:val="21"/>
                <w:szCs w:val="21"/>
              </w:rPr>
            </w:pPr>
            <w:r>
              <w:rPr>
                <w:rFonts w:cstheme="minorHAnsi"/>
                <w:color w:val="010202"/>
                <w:sz w:val="21"/>
                <w:szCs w:val="21"/>
              </w:rPr>
              <w:t>Description of the class of contracts to which the plan of operations pertains.  Include a description of the products, the markets to which the products will be sold, benefits offered (including whether benefits will be paid on a market or book value basis).</w:t>
            </w:r>
          </w:p>
        </w:tc>
        <w:tc>
          <w:tcPr>
            <w:tcW w:w="1252" w:type="dxa"/>
          </w:tcPr>
          <w:p w14:paraId="321945B1" w14:textId="77777777" w:rsidR="00595692" w:rsidRPr="00EC39E0" w:rsidRDefault="00595692" w:rsidP="00DC2EEC">
            <w:pPr>
              <w:rPr>
                <w:rFonts w:cstheme="minorHAnsi"/>
                <w:color w:val="FF0000"/>
                <w:sz w:val="21"/>
                <w:szCs w:val="21"/>
              </w:rPr>
            </w:pPr>
          </w:p>
        </w:tc>
      </w:tr>
      <w:tr w:rsidR="00CF3BFC" w:rsidRPr="00EC39E0" w14:paraId="543DBE28" w14:textId="77777777" w:rsidTr="00595692">
        <w:tc>
          <w:tcPr>
            <w:tcW w:w="1092" w:type="dxa"/>
          </w:tcPr>
          <w:p w14:paraId="13BABE4F" w14:textId="14A1A8DD" w:rsidR="00CF3BFC" w:rsidRPr="00EC39E0" w:rsidRDefault="00CF3BFC" w:rsidP="00DC2EEC">
            <w:pPr>
              <w:rPr>
                <w:rFonts w:cstheme="minorHAnsi"/>
                <w:sz w:val="21"/>
                <w:szCs w:val="21"/>
              </w:rPr>
            </w:pPr>
            <w:r w:rsidRPr="00EC39E0">
              <w:rPr>
                <w:rFonts w:cstheme="minorHAnsi"/>
                <w:sz w:val="21"/>
                <w:szCs w:val="21"/>
              </w:rPr>
              <w:sym w:font="Wingdings" w:char="F06F"/>
            </w:r>
          </w:p>
        </w:tc>
        <w:tc>
          <w:tcPr>
            <w:tcW w:w="2315" w:type="dxa"/>
            <w:gridSpan w:val="2"/>
          </w:tcPr>
          <w:p w14:paraId="7E23A36E" w14:textId="236C34BB" w:rsidR="00CF3BFC" w:rsidRPr="00EC39E0" w:rsidRDefault="000B2487" w:rsidP="00DC2EEC">
            <w:pPr>
              <w:rPr>
                <w:rFonts w:cstheme="minorHAnsi"/>
                <w:sz w:val="21"/>
                <w:szCs w:val="21"/>
              </w:rPr>
            </w:pPr>
            <w:r w:rsidRPr="00EC39E0">
              <w:rPr>
                <w:rFonts w:cstheme="minorHAnsi"/>
                <w:sz w:val="21"/>
                <w:szCs w:val="21"/>
              </w:rPr>
              <w:t>Administered requirements</w:t>
            </w:r>
          </w:p>
        </w:tc>
        <w:tc>
          <w:tcPr>
            <w:tcW w:w="1685" w:type="dxa"/>
            <w:gridSpan w:val="3"/>
          </w:tcPr>
          <w:p w14:paraId="38419EC9" w14:textId="1AA51FE7" w:rsidR="00CF3BFC" w:rsidRPr="00EC39E0" w:rsidRDefault="00F61BD1" w:rsidP="00DC2EEC">
            <w:pPr>
              <w:rPr>
                <w:rFonts w:cstheme="minorHAnsi"/>
                <w:sz w:val="21"/>
                <w:szCs w:val="21"/>
                <w:highlight w:val="yellow"/>
              </w:rPr>
            </w:pPr>
            <w:hyperlink r:id="rId12" w:history="1">
              <w:r w:rsidR="0092571A" w:rsidRPr="00263CAC">
                <w:rPr>
                  <w:rStyle w:val="Hyperlink"/>
                  <w:rFonts w:cstheme="minorHAnsi"/>
                  <w:sz w:val="21"/>
                  <w:szCs w:val="21"/>
                </w:rPr>
                <w:t>NAIC Model 200 § 5B(2)</w:t>
              </w:r>
            </w:hyperlink>
          </w:p>
        </w:tc>
        <w:tc>
          <w:tcPr>
            <w:tcW w:w="3006" w:type="dxa"/>
            <w:gridSpan w:val="2"/>
          </w:tcPr>
          <w:p w14:paraId="4875472E" w14:textId="24A9795C" w:rsidR="00CF3BFC" w:rsidRPr="00EC39E0" w:rsidRDefault="000B2487" w:rsidP="0082259C">
            <w:pPr>
              <w:autoSpaceDE w:val="0"/>
              <w:autoSpaceDN w:val="0"/>
              <w:adjustRightInd w:val="0"/>
              <w:rPr>
                <w:rFonts w:cstheme="minorHAnsi"/>
                <w:sz w:val="21"/>
                <w:szCs w:val="21"/>
                <w:highlight w:val="yellow"/>
              </w:rPr>
            </w:pPr>
            <w:r w:rsidRPr="00EC39E0">
              <w:rPr>
                <w:rFonts w:cstheme="minorHAnsi"/>
                <w:sz w:val="21"/>
                <w:szCs w:val="21"/>
              </w:rPr>
              <w:t>A statement that the plan of operation will be administered in accordance with the requirements prescribed by the Director pursuant to this regulation, along with a statement that the insurer will comply with the plan of operation in its administration of the contract;</w:t>
            </w:r>
          </w:p>
        </w:tc>
        <w:tc>
          <w:tcPr>
            <w:tcW w:w="1252" w:type="dxa"/>
          </w:tcPr>
          <w:p w14:paraId="56389876" w14:textId="77777777" w:rsidR="00CF3BFC" w:rsidRPr="00EC39E0" w:rsidRDefault="00CF3BFC" w:rsidP="00DC2EEC">
            <w:pPr>
              <w:rPr>
                <w:rFonts w:cstheme="minorHAnsi"/>
                <w:sz w:val="21"/>
                <w:szCs w:val="21"/>
              </w:rPr>
            </w:pPr>
          </w:p>
        </w:tc>
      </w:tr>
      <w:tr w:rsidR="00DC2EEC" w:rsidRPr="00EC39E0" w14:paraId="2AB36387" w14:textId="77777777" w:rsidTr="00595692">
        <w:tc>
          <w:tcPr>
            <w:tcW w:w="1092" w:type="dxa"/>
          </w:tcPr>
          <w:p w14:paraId="4AA489D2" w14:textId="60162338" w:rsidR="00DC2EEC" w:rsidRPr="00EC39E0" w:rsidRDefault="00DC2EEC" w:rsidP="00DC2EEC">
            <w:pPr>
              <w:rPr>
                <w:rFonts w:cstheme="minorHAnsi"/>
                <w:sz w:val="21"/>
                <w:szCs w:val="21"/>
              </w:rPr>
            </w:pPr>
            <w:r w:rsidRPr="00EC39E0">
              <w:rPr>
                <w:rFonts w:cstheme="minorHAnsi"/>
                <w:sz w:val="21"/>
                <w:szCs w:val="21"/>
              </w:rPr>
              <w:sym w:font="Wingdings" w:char="F06F"/>
            </w:r>
          </w:p>
        </w:tc>
        <w:tc>
          <w:tcPr>
            <w:tcW w:w="2315" w:type="dxa"/>
            <w:gridSpan w:val="2"/>
          </w:tcPr>
          <w:p w14:paraId="56FD455C" w14:textId="3CC44FE8" w:rsidR="00DC2EEC" w:rsidRPr="00EC39E0" w:rsidRDefault="009E37E1" w:rsidP="00DC2EEC">
            <w:pPr>
              <w:rPr>
                <w:rFonts w:cstheme="minorHAnsi"/>
                <w:sz w:val="21"/>
                <w:szCs w:val="21"/>
                <w:highlight w:val="yellow"/>
              </w:rPr>
            </w:pPr>
            <w:r w:rsidRPr="00EC39E0">
              <w:rPr>
                <w:rFonts w:cstheme="minorHAnsi"/>
                <w:sz w:val="21"/>
                <w:szCs w:val="21"/>
              </w:rPr>
              <w:t>Statutory Liability</w:t>
            </w:r>
          </w:p>
        </w:tc>
        <w:tc>
          <w:tcPr>
            <w:tcW w:w="1685" w:type="dxa"/>
            <w:gridSpan w:val="3"/>
          </w:tcPr>
          <w:p w14:paraId="4D5ACFD6" w14:textId="266E969A" w:rsidR="00DC2EEC" w:rsidRPr="00EC39E0" w:rsidRDefault="00F61BD1" w:rsidP="00DC2EEC">
            <w:pPr>
              <w:rPr>
                <w:rFonts w:cstheme="minorHAnsi"/>
                <w:sz w:val="21"/>
                <w:szCs w:val="21"/>
                <w:highlight w:val="yellow"/>
              </w:rPr>
            </w:pPr>
            <w:hyperlink r:id="rId13" w:history="1">
              <w:r w:rsidR="0092571A" w:rsidRPr="00263CAC">
                <w:rPr>
                  <w:rStyle w:val="Hyperlink"/>
                  <w:rFonts w:cstheme="minorHAnsi"/>
                  <w:sz w:val="21"/>
                  <w:szCs w:val="21"/>
                </w:rPr>
                <w:t>NAIC Model 200 § 5B(5)</w:t>
              </w:r>
            </w:hyperlink>
          </w:p>
        </w:tc>
        <w:tc>
          <w:tcPr>
            <w:tcW w:w="3006" w:type="dxa"/>
            <w:gridSpan w:val="2"/>
          </w:tcPr>
          <w:p w14:paraId="4B07CC76" w14:textId="7E794862" w:rsidR="00DC2EEC" w:rsidRDefault="009E37E1" w:rsidP="00DC2EEC">
            <w:pPr>
              <w:rPr>
                <w:rFonts w:cstheme="minorHAnsi"/>
                <w:sz w:val="21"/>
                <w:szCs w:val="21"/>
              </w:rPr>
            </w:pPr>
            <w:r w:rsidRPr="00EC39E0">
              <w:rPr>
                <w:rFonts w:cstheme="minorHAnsi"/>
                <w:sz w:val="21"/>
                <w:szCs w:val="21"/>
              </w:rPr>
              <w:t xml:space="preserve">A statement describing </w:t>
            </w:r>
            <w:r w:rsidR="0092571A">
              <w:rPr>
                <w:rFonts w:cstheme="minorHAnsi"/>
                <w:sz w:val="21"/>
                <w:szCs w:val="21"/>
              </w:rPr>
              <w:t>how the GC liabilities are to be valued including, if applicable, methodology for calculating spot rates and rates proposed to be used to discount GC liabilities if higher than the applicable spot rates.  See Model 200 for further requirements.</w:t>
            </w:r>
            <w:r w:rsidR="00C32721" w:rsidRPr="00EC39E0">
              <w:rPr>
                <w:rFonts w:cstheme="minorHAnsi"/>
                <w:sz w:val="21"/>
                <w:szCs w:val="21"/>
              </w:rPr>
              <w:t xml:space="preserve"> </w:t>
            </w:r>
          </w:p>
          <w:p w14:paraId="2FE4106C" w14:textId="6708E053" w:rsidR="004D1C8C" w:rsidRPr="004D1C8C" w:rsidRDefault="004D1C8C" w:rsidP="00DC2EEC">
            <w:pPr>
              <w:rPr>
                <w:rFonts w:cstheme="minorHAnsi"/>
                <w:i/>
                <w:sz w:val="21"/>
                <w:szCs w:val="21"/>
                <w:highlight w:val="yellow"/>
              </w:rPr>
            </w:pPr>
            <w:r w:rsidRPr="004D1C8C">
              <w:rPr>
                <w:rFonts w:cstheme="minorHAnsi"/>
                <w:i/>
                <w:sz w:val="21"/>
                <w:szCs w:val="21"/>
              </w:rPr>
              <w:t>(</w:t>
            </w:r>
            <w:r w:rsidRPr="000909D2">
              <w:rPr>
                <w:rFonts w:cstheme="minorHAnsi"/>
                <w:i/>
                <w:sz w:val="21"/>
                <w:szCs w:val="21"/>
                <w:highlight w:val="yellow"/>
              </w:rPr>
              <w:t>*Subject to review by chief actuary)</w:t>
            </w:r>
          </w:p>
        </w:tc>
        <w:tc>
          <w:tcPr>
            <w:tcW w:w="1252" w:type="dxa"/>
          </w:tcPr>
          <w:p w14:paraId="5B56C43E" w14:textId="1C1722D9" w:rsidR="00DC2EEC" w:rsidRPr="00EC39E0" w:rsidRDefault="00DC2EEC" w:rsidP="00DC2EEC">
            <w:pPr>
              <w:rPr>
                <w:rFonts w:cstheme="minorHAnsi"/>
                <w:sz w:val="21"/>
                <w:szCs w:val="21"/>
              </w:rPr>
            </w:pPr>
          </w:p>
        </w:tc>
      </w:tr>
      <w:tr w:rsidR="00DC2EEC" w:rsidRPr="00EC39E0" w14:paraId="6807ECE6" w14:textId="77777777" w:rsidTr="00595692">
        <w:tc>
          <w:tcPr>
            <w:tcW w:w="1092" w:type="dxa"/>
          </w:tcPr>
          <w:p w14:paraId="28F7BD58" w14:textId="51B42E57" w:rsidR="00DC2EEC" w:rsidRPr="00EC39E0" w:rsidRDefault="00DC2EEC" w:rsidP="00DC2EEC">
            <w:pPr>
              <w:rPr>
                <w:rFonts w:cstheme="minorHAnsi"/>
                <w:sz w:val="21"/>
                <w:szCs w:val="21"/>
              </w:rPr>
            </w:pPr>
            <w:r w:rsidRPr="00EC39E0">
              <w:rPr>
                <w:rFonts w:cstheme="minorHAnsi"/>
                <w:sz w:val="21"/>
                <w:szCs w:val="21"/>
              </w:rPr>
              <w:sym w:font="Wingdings" w:char="F06F"/>
            </w:r>
          </w:p>
        </w:tc>
        <w:tc>
          <w:tcPr>
            <w:tcW w:w="2315" w:type="dxa"/>
            <w:gridSpan w:val="2"/>
          </w:tcPr>
          <w:p w14:paraId="59DD46FB" w14:textId="1B3867AD" w:rsidR="00DC2EEC" w:rsidRPr="00EC39E0" w:rsidRDefault="006A7B7B" w:rsidP="00DC2EEC">
            <w:pPr>
              <w:rPr>
                <w:rFonts w:cstheme="minorHAnsi"/>
                <w:sz w:val="21"/>
                <w:szCs w:val="21"/>
              </w:rPr>
            </w:pPr>
            <w:r w:rsidRPr="00EC39E0">
              <w:rPr>
                <w:rFonts w:cstheme="minorHAnsi"/>
                <w:sz w:val="21"/>
                <w:szCs w:val="21"/>
              </w:rPr>
              <w:t>Investment manager</w:t>
            </w:r>
          </w:p>
        </w:tc>
        <w:tc>
          <w:tcPr>
            <w:tcW w:w="1685" w:type="dxa"/>
            <w:gridSpan w:val="3"/>
          </w:tcPr>
          <w:p w14:paraId="18F8FFB3" w14:textId="1F1C0C3B" w:rsidR="00DC2EEC" w:rsidRPr="00EC39E0" w:rsidRDefault="00F61BD1" w:rsidP="00DC2EEC">
            <w:pPr>
              <w:rPr>
                <w:rFonts w:cstheme="minorHAnsi"/>
                <w:sz w:val="21"/>
                <w:szCs w:val="21"/>
              </w:rPr>
            </w:pPr>
            <w:hyperlink r:id="rId14" w:history="1">
              <w:r w:rsidR="0092571A" w:rsidRPr="00263CAC">
                <w:rPr>
                  <w:rStyle w:val="Hyperlink"/>
                  <w:rFonts w:cstheme="minorHAnsi"/>
                  <w:sz w:val="21"/>
                  <w:szCs w:val="21"/>
                </w:rPr>
                <w:t>NAIC Model 200 § 5B(12)</w:t>
              </w:r>
            </w:hyperlink>
          </w:p>
        </w:tc>
        <w:tc>
          <w:tcPr>
            <w:tcW w:w="3006" w:type="dxa"/>
            <w:gridSpan w:val="2"/>
          </w:tcPr>
          <w:p w14:paraId="23763AD0" w14:textId="684CE326" w:rsidR="00DC2EEC" w:rsidRPr="00EC39E0" w:rsidRDefault="0092571A" w:rsidP="00DC2EEC">
            <w:pPr>
              <w:rPr>
                <w:rFonts w:cstheme="minorHAnsi"/>
                <w:sz w:val="21"/>
                <w:szCs w:val="21"/>
              </w:rPr>
            </w:pPr>
            <w:r>
              <w:rPr>
                <w:rFonts w:cstheme="minorHAnsi"/>
                <w:sz w:val="21"/>
                <w:szCs w:val="21"/>
              </w:rPr>
              <w:t>For any person other than the insurer who may authorize, approve or review the acquisition and disposition of investments for the separate account or any supplemental account, a statement of the safeguards adopted to assure actions taken by that person are appropriate, including insurer’s criteria for selecting that person.</w:t>
            </w:r>
          </w:p>
        </w:tc>
        <w:tc>
          <w:tcPr>
            <w:tcW w:w="1252" w:type="dxa"/>
          </w:tcPr>
          <w:p w14:paraId="09BB0DAA" w14:textId="77777777" w:rsidR="00DC2EEC" w:rsidRPr="00EC39E0" w:rsidRDefault="00DC2EEC" w:rsidP="00DC2EEC">
            <w:pPr>
              <w:rPr>
                <w:rFonts w:cstheme="minorHAnsi"/>
                <w:sz w:val="21"/>
                <w:szCs w:val="21"/>
              </w:rPr>
            </w:pPr>
          </w:p>
        </w:tc>
      </w:tr>
      <w:tr w:rsidR="00DC2EEC" w:rsidRPr="00EC39E0" w14:paraId="29A92059" w14:textId="77777777" w:rsidTr="00595692">
        <w:tc>
          <w:tcPr>
            <w:tcW w:w="1092" w:type="dxa"/>
            <w:shd w:val="clear" w:color="auto" w:fill="E7E6E6" w:themeFill="background2"/>
          </w:tcPr>
          <w:p w14:paraId="3993385A" w14:textId="77777777" w:rsidR="00DC2EEC" w:rsidRPr="00EC39E0" w:rsidRDefault="00DC2EEC" w:rsidP="00DC2EEC">
            <w:pPr>
              <w:rPr>
                <w:rFonts w:cstheme="minorHAnsi"/>
                <w:b/>
                <w:sz w:val="21"/>
                <w:szCs w:val="21"/>
              </w:rPr>
            </w:pPr>
          </w:p>
        </w:tc>
        <w:tc>
          <w:tcPr>
            <w:tcW w:w="8258" w:type="dxa"/>
            <w:gridSpan w:val="8"/>
            <w:shd w:val="clear" w:color="auto" w:fill="E7E6E6" w:themeFill="background2"/>
          </w:tcPr>
          <w:p w14:paraId="5CE71F50" w14:textId="117EC6C3" w:rsidR="00DC2EEC" w:rsidRPr="00EC39E0" w:rsidRDefault="003043E9" w:rsidP="00DC2EEC">
            <w:pPr>
              <w:rPr>
                <w:rFonts w:cstheme="minorHAnsi"/>
                <w:sz w:val="21"/>
                <w:szCs w:val="21"/>
              </w:rPr>
            </w:pPr>
            <w:r w:rsidRPr="00EC39E0">
              <w:rPr>
                <w:rFonts w:cstheme="minorHAnsi"/>
                <w:b/>
                <w:sz w:val="21"/>
                <w:szCs w:val="21"/>
              </w:rPr>
              <w:t>Asset Reports</w:t>
            </w:r>
          </w:p>
        </w:tc>
      </w:tr>
      <w:tr w:rsidR="002B24ED" w:rsidRPr="00EC39E0" w14:paraId="00A826E5" w14:textId="77777777" w:rsidTr="00595692">
        <w:tc>
          <w:tcPr>
            <w:tcW w:w="1092" w:type="dxa"/>
          </w:tcPr>
          <w:p w14:paraId="2F4FABC2" w14:textId="17DFF636" w:rsidR="002B24ED" w:rsidRPr="00EC39E0" w:rsidRDefault="002B24ED" w:rsidP="002B24ED">
            <w:pPr>
              <w:rPr>
                <w:rFonts w:cstheme="minorHAnsi"/>
                <w:sz w:val="21"/>
                <w:szCs w:val="21"/>
              </w:rPr>
            </w:pPr>
            <w:r w:rsidRPr="00EC39E0">
              <w:rPr>
                <w:rFonts w:cstheme="minorHAnsi"/>
                <w:sz w:val="21"/>
                <w:szCs w:val="21"/>
              </w:rPr>
              <w:sym w:font="Wingdings" w:char="F06F"/>
            </w:r>
          </w:p>
        </w:tc>
        <w:tc>
          <w:tcPr>
            <w:tcW w:w="2315" w:type="dxa"/>
            <w:gridSpan w:val="2"/>
          </w:tcPr>
          <w:p w14:paraId="1E7D09E5" w14:textId="1D7083DE" w:rsidR="002B24ED" w:rsidRPr="00EC39E0" w:rsidRDefault="00164C2E" w:rsidP="002B24ED">
            <w:pPr>
              <w:rPr>
                <w:rFonts w:cstheme="minorHAnsi"/>
                <w:sz w:val="21"/>
                <w:szCs w:val="21"/>
              </w:rPr>
            </w:pPr>
            <w:r w:rsidRPr="00EC39E0">
              <w:rPr>
                <w:rFonts w:cstheme="minorHAnsi"/>
                <w:sz w:val="21"/>
                <w:szCs w:val="21"/>
              </w:rPr>
              <w:t>Describe reports</w:t>
            </w:r>
          </w:p>
        </w:tc>
        <w:tc>
          <w:tcPr>
            <w:tcW w:w="1685" w:type="dxa"/>
            <w:gridSpan w:val="3"/>
          </w:tcPr>
          <w:p w14:paraId="3DF1568E" w14:textId="405C1D29" w:rsidR="002B24ED" w:rsidRPr="00EC39E0" w:rsidRDefault="00F61BD1" w:rsidP="002B24ED">
            <w:pPr>
              <w:rPr>
                <w:rStyle w:val="Hyperlink"/>
                <w:rFonts w:cstheme="minorHAnsi"/>
                <w:sz w:val="21"/>
                <w:szCs w:val="21"/>
              </w:rPr>
            </w:pPr>
            <w:hyperlink r:id="rId15" w:history="1">
              <w:r w:rsidR="00E20C02" w:rsidRPr="00263CAC">
                <w:rPr>
                  <w:rStyle w:val="Hyperlink"/>
                  <w:rFonts w:cstheme="minorHAnsi"/>
                  <w:sz w:val="21"/>
                  <w:szCs w:val="21"/>
                </w:rPr>
                <w:t>NAIC Model 200 § 10(E)</w:t>
              </w:r>
              <w:r w:rsidR="004F342E" w:rsidRPr="00263CAC">
                <w:rPr>
                  <w:rStyle w:val="Hyperlink"/>
                  <w:rFonts w:cstheme="minorHAnsi"/>
                  <w:sz w:val="21"/>
                  <w:szCs w:val="21"/>
                </w:rPr>
                <w:t>-(G)</w:t>
              </w:r>
            </w:hyperlink>
          </w:p>
        </w:tc>
        <w:tc>
          <w:tcPr>
            <w:tcW w:w="3006" w:type="dxa"/>
            <w:gridSpan w:val="2"/>
          </w:tcPr>
          <w:p w14:paraId="42D72A1A" w14:textId="56A60EAE" w:rsidR="003043E9" w:rsidRPr="00EC39E0" w:rsidRDefault="003043E9" w:rsidP="003043E9">
            <w:pPr>
              <w:rPr>
                <w:rFonts w:cstheme="minorHAnsi"/>
                <w:sz w:val="21"/>
                <w:szCs w:val="21"/>
              </w:rPr>
            </w:pPr>
            <w:r w:rsidRPr="00EC39E0">
              <w:rPr>
                <w:rFonts w:cstheme="minorHAnsi"/>
                <w:sz w:val="21"/>
                <w:szCs w:val="21"/>
              </w:rPr>
              <w:t xml:space="preserve">A </w:t>
            </w:r>
            <w:r w:rsidR="00E20C02">
              <w:rPr>
                <w:rFonts w:cstheme="minorHAnsi"/>
                <w:sz w:val="21"/>
                <w:szCs w:val="21"/>
              </w:rPr>
              <w:t>statement</w:t>
            </w:r>
            <w:r w:rsidR="00E20C02" w:rsidRPr="00EC39E0">
              <w:rPr>
                <w:rFonts w:cstheme="minorHAnsi"/>
                <w:sz w:val="21"/>
                <w:szCs w:val="21"/>
              </w:rPr>
              <w:t xml:space="preserve"> </w:t>
            </w:r>
            <w:r w:rsidRPr="00EC39E0">
              <w:rPr>
                <w:rFonts w:cstheme="minorHAnsi"/>
                <w:sz w:val="21"/>
                <w:szCs w:val="21"/>
              </w:rPr>
              <w:t xml:space="preserve">of the insurer's </w:t>
            </w:r>
            <w:r w:rsidR="00E20C02">
              <w:rPr>
                <w:rFonts w:cstheme="minorHAnsi"/>
                <w:sz w:val="21"/>
                <w:szCs w:val="21"/>
              </w:rPr>
              <w:t>obligation to submit an annual actuarial opinion with contents that conform to NAIC Model 200 § 10(E)</w:t>
            </w:r>
            <w:r w:rsidR="004F342E">
              <w:rPr>
                <w:rFonts w:cstheme="minorHAnsi"/>
                <w:sz w:val="21"/>
                <w:szCs w:val="21"/>
              </w:rPr>
              <w:t>-(G)</w:t>
            </w:r>
          </w:p>
          <w:p w14:paraId="6E92608C" w14:textId="4D9D664C" w:rsidR="002B24ED" w:rsidRPr="00EC39E0" w:rsidRDefault="002B24ED" w:rsidP="002B24ED">
            <w:pPr>
              <w:pStyle w:val="Default"/>
              <w:rPr>
                <w:rFonts w:asciiTheme="minorHAnsi" w:hAnsiTheme="minorHAnsi" w:cstheme="minorHAnsi"/>
                <w:sz w:val="21"/>
                <w:szCs w:val="21"/>
              </w:rPr>
            </w:pPr>
          </w:p>
        </w:tc>
        <w:tc>
          <w:tcPr>
            <w:tcW w:w="1252" w:type="dxa"/>
          </w:tcPr>
          <w:p w14:paraId="008EC855" w14:textId="77777777" w:rsidR="002B24ED" w:rsidRPr="00EC39E0" w:rsidRDefault="002B24ED" w:rsidP="002B24ED">
            <w:pPr>
              <w:rPr>
                <w:rFonts w:cstheme="minorHAnsi"/>
                <w:color w:val="FF0000"/>
                <w:sz w:val="21"/>
                <w:szCs w:val="21"/>
              </w:rPr>
            </w:pPr>
          </w:p>
        </w:tc>
      </w:tr>
      <w:tr w:rsidR="002B24ED" w:rsidRPr="00EC39E0" w14:paraId="324B0DD1" w14:textId="77777777" w:rsidTr="00595692">
        <w:tc>
          <w:tcPr>
            <w:tcW w:w="1092" w:type="dxa"/>
          </w:tcPr>
          <w:p w14:paraId="05E7A321" w14:textId="05B2EB96" w:rsidR="002B24ED" w:rsidRPr="00EC39E0" w:rsidRDefault="002B24ED" w:rsidP="002B24ED">
            <w:pPr>
              <w:rPr>
                <w:rFonts w:cstheme="minorHAnsi"/>
                <w:sz w:val="21"/>
                <w:szCs w:val="21"/>
              </w:rPr>
            </w:pPr>
            <w:r w:rsidRPr="00EC39E0">
              <w:rPr>
                <w:rFonts w:cstheme="minorHAnsi"/>
                <w:sz w:val="21"/>
                <w:szCs w:val="21"/>
              </w:rPr>
              <w:sym w:font="Wingdings" w:char="F06F"/>
            </w:r>
          </w:p>
        </w:tc>
        <w:tc>
          <w:tcPr>
            <w:tcW w:w="2315" w:type="dxa"/>
            <w:gridSpan w:val="2"/>
          </w:tcPr>
          <w:p w14:paraId="584AB977" w14:textId="39B4CD86" w:rsidR="002B24ED" w:rsidRPr="00EC39E0" w:rsidRDefault="00E20C02" w:rsidP="002B24ED">
            <w:pPr>
              <w:rPr>
                <w:rFonts w:cstheme="minorHAnsi"/>
                <w:sz w:val="21"/>
                <w:szCs w:val="21"/>
              </w:rPr>
            </w:pPr>
            <w:r>
              <w:rPr>
                <w:rFonts w:cstheme="minorHAnsi"/>
                <w:sz w:val="21"/>
                <w:szCs w:val="21"/>
              </w:rPr>
              <w:t>Asset maintenance obligations</w:t>
            </w:r>
          </w:p>
        </w:tc>
        <w:tc>
          <w:tcPr>
            <w:tcW w:w="1685" w:type="dxa"/>
            <w:gridSpan w:val="3"/>
          </w:tcPr>
          <w:p w14:paraId="45BA00D8" w14:textId="328D0F30" w:rsidR="002B24ED" w:rsidRPr="00EC39E0" w:rsidRDefault="00F61BD1" w:rsidP="002B24ED">
            <w:pPr>
              <w:rPr>
                <w:rFonts w:cstheme="minorHAnsi"/>
                <w:sz w:val="21"/>
                <w:szCs w:val="21"/>
              </w:rPr>
            </w:pPr>
            <w:hyperlink r:id="rId16" w:history="1">
              <w:r w:rsidR="00E20C02" w:rsidRPr="006F3B28">
                <w:rPr>
                  <w:rStyle w:val="Hyperlink"/>
                  <w:rFonts w:cstheme="minorHAnsi"/>
                  <w:sz w:val="21"/>
                  <w:szCs w:val="21"/>
                </w:rPr>
                <w:t>NAIC Model 200 §</w:t>
              </w:r>
              <w:r w:rsidR="004F342E" w:rsidRPr="006F3B28">
                <w:rPr>
                  <w:rStyle w:val="Hyperlink"/>
                  <w:rFonts w:cstheme="minorHAnsi"/>
                  <w:sz w:val="21"/>
                  <w:szCs w:val="21"/>
                </w:rPr>
                <w:t>§</w:t>
              </w:r>
              <w:r w:rsidR="00E20C02" w:rsidRPr="006F3B28">
                <w:rPr>
                  <w:rStyle w:val="Hyperlink"/>
                  <w:rFonts w:cstheme="minorHAnsi"/>
                  <w:sz w:val="21"/>
                  <w:szCs w:val="21"/>
                </w:rPr>
                <w:t xml:space="preserve"> 7</w:t>
              </w:r>
              <w:r w:rsidR="004F342E" w:rsidRPr="006F3B28">
                <w:rPr>
                  <w:rStyle w:val="Hyperlink"/>
                  <w:rFonts w:cstheme="minorHAnsi"/>
                  <w:sz w:val="21"/>
                  <w:szCs w:val="21"/>
                </w:rPr>
                <w:t>-9</w:t>
              </w:r>
            </w:hyperlink>
          </w:p>
        </w:tc>
        <w:tc>
          <w:tcPr>
            <w:tcW w:w="3006" w:type="dxa"/>
            <w:gridSpan w:val="2"/>
          </w:tcPr>
          <w:p w14:paraId="0BBF268E" w14:textId="390DA136" w:rsidR="002B24ED" w:rsidRPr="00EC39E0" w:rsidRDefault="00E20C02" w:rsidP="00E20C02">
            <w:pPr>
              <w:autoSpaceDE w:val="0"/>
              <w:autoSpaceDN w:val="0"/>
              <w:adjustRightInd w:val="0"/>
              <w:rPr>
                <w:rFonts w:cstheme="minorHAnsi"/>
                <w:sz w:val="21"/>
                <w:szCs w:val="21"/>
              </w:rPr>
            </w:pPr>
            <w:r>
              <w:rPr>
                <w:rFonts w:cstheme="minorHAnsi"/>
                <w:sz w:val="21"/>
                <w:szCs w:val="21"/>
              </w:rPr>
              <w:t xml:space="preserve">Statement of the insurer’s obligation to comply with asset maintenance requirements at NAIC Model 200 </w:t>
            </w:r>
            <w:r w:rsidR="004F342E">
              <w:rPr>
                <w:rFonts w:cstheme="minorHAnsi"/>
                <w:sz w:val="21"/>
                <w:szCs w:val="21"/>
              </w:rPr>
              <w:t>§</w:t>
            </w:r>
            <w:r>
              <w:rPr>
                <w:rFonts w:cstheme="minorHAnsi"/>
                <w:sz w:val="21"/>
                <w:szCs w:val="21"/>
              </w:rPr>
              <w:t xml:space="preserve">§ </w:t>
            </w:r>
            <w:r w:rsidR="004F342E">
              <w:rPr>
                <w:rFonts w:cstheme="minorHAnsi"/>
                <w:sz w:val="21"/>
                <w:szCs w:val="21"/>
              </w:rPr>
              <w:t>7-9</w:t>
            </w:r>
          </w:p>
        </w:tc>
        <w:tc>
          <w:tcPr>
            <w:tcW w:w="1252" w:type="dxa"/>
          </w:tcPr>
          <w:p w14:paraId="3F36BF06" w14:textId="77777777" w:rsidR="002B24ED" w:rsidRPr="00EC39E0" w:rsidRDefault="002B24ED" w:rsidP="002B24ED">
            <w:pPr>
              <w:rPr>
                <w:rFonts w:cstheme="minorHAnsi"/>
                <w:sz w:val="21"/>
                <w:szCs w:val="21"/>
              </w:rPr>
            </w:pPr>
          </w:p>
        </w:tc>
      </w:tr>
      <w:tr w:rsidR="00BD3239" w:rsidRPr="00EC39E0" w14:paraId="7F9441DE" w14:textId="77777777" w:rsidTr="00595692">
        <w:tc>
          <w:tcPr>
            <w:tcW w:w="1092" w:type="dxa"/>
            <w:shd w:val="clear" w:color="auto" w:fill="E7E6E6" w:themeFill="background2"/>
          </w:tcPr>
          <w:p w14:paraId="544F7185" w14:textId="63814953" w:rsidR="00BD3239" w:rsidRPr="00EC39E0" w:rsidRDefault="008B0DDE" w:rsidP="00C523DB">
            <w:pPr>
              <w:rPr>
                <w:rFonts w:cstheme="minorHAnsi"/>
                <w:sz w:val="21"/>
                <w:szCs w:val="21"/>
              </w:rPr>
            </w:pPr>
            <w:r w:rsidRPr="00EC39E0">
              <w:rPr>
                <w:rFonts w:cstheme="minorHAnsi"/>
                <w:sz w:val="21"/>
                <w:szCs w:val="21"/>
              </w:rPr>
              <w:br w:type="page"/>
            </w:r>
          </w:p>
        </w:tc>
        <w:tc>
          <w:tcPr>
            <w:tcW w:w="8258" w:type="dxa"/>
            <w:gridSpan w:val="8"/>
            <w:shd w:val="clear" w:color="auto" w:fill="E7E6E6" w:themeFill="background2"/>
          </w:tcPr>
          <w:p w14:paraId="06C2F095" w14:textId="79C33043" w:rsidR="00BD3239" w:rsidRPr="00EC39E0" w:rsidRDefault="00BE37DC" w:rsidP="00C523DB">
            <w:pPr>
              <w:rPr>
                <w:rFonts w:cstheme="minorHAnsi"/>
                <w:b/>
                <w:sz w:val="21"/>
                <w:szCs w:val="21"/>
              </w:rPr>
            </w:pPr>
            <w:r w:rsidRPr="00EC39E0">
              <w:rPr>
                <w:rFonts w:cstheme="minorHAnsi"/>
                <w:b/>
                <w:sz w:val="21"/>
                <w:szCs w:val="21"/>
              </w:rPr>
              <w:t>Sample Contracts</w:t>
            </w:r>
          </w:p>
        </w:tc>
      </w:tr>
      <w:tr w:rsidR="006054D0" w:rsidRPr="00EC39E0" w14:paraId="64561391" w14:textId="1867054C" w:rsidTr="00595692">
        <w:tc>
          <w:tcPr>
            <w:tcW w:w="1092" w:type="dxa"/>
          </w:tcPr>
          <w:p w14:paraId="5B9C4E8F" w14:textId="392D6500" w:rsidR="006054D0" w:rsidRPr="00EC39E0" w:rsidRDefault="006054D0" w:rsidP="006054D0">
            <w:pPr>
              <w:rPr>
                <w:rFonts w:cstheme="minorHAnsi"/>
                <w:sz w:val="21"/>
                <w:szCs w:val="21"/>
              </w:rPr>
            </w:pPr>
          </w:p>
        </w:tc>
        <w:tc>
          <w:tcPr>
            <w:tcW w:w="2315" w:type="dxa"/>
            <w:gridSpan w:val="2"/>
          </w:tcPr>
          <w:p w14:paraId="167E98FF" w14:textId="1D889209" w:rsidR="006054D0" w:rsidRPr="00EC39E0" w:rsidRDefault="00595692" w:rsidP="006054D0">
            <w:pPr>
              <w:rPr>
                <w:rFonts w:cstheme="minorHAnsi"/>
                <w:sz w:val="21"/>
                <w:szCs w:val="21"/>
              </w:rPr>
            </w:pPr>
            <w:r>
              <w:rPr>
                <w:rFonts w:cstheme="minorHAnsi"/>
                <w:sz w:val="21"/>
                <w:szCs w:val="21"/>
              </w:rPr>
              <w:t>Copies of forms of the contracts in the class</w:t>
            </w:r>
          </w:p>
        </w:tc>
        <w:tc>
          <w:tcPr>
            <w:tcW w:w="1685" w:type="dxa"/>
            <w:gridSpan w:val="3"/>
          </w:tcPr>
          <w:p w14:paraId="11C02856" w14:textId="5216A848" w:rsidR="006054D0" w:rsidRPr="00EC39E0" w:rsidRDefault="00F61BD1" w:rsidP="006054D0">
            <w:pPr>
              <w:rPr>
                <w:rFonts w:cstheme="minorHAnsi"/>
                <w:sz w:val="21"/>
                <w:szCs w:val="21"/>
              </w:rPr>
            </w:pPr>
            <w:hyperlink r:id="rId17" w:history="1">
              <w:r w:rsidR="00595692" w:rsidRPr="006F3B28">
                <w:rPr>
                  <w:rStyle w:val="Hyperlink"/>
                  <w:rFonts w:cstheme="minorHAnsi"/>
                  <w:sz w:val="21"/>
                  <w:szCs w:val="21"/>
                </w:rPr>
                <w:t>Model 200 § A</w:t>
              </w:r>
            </w:hyperlink>
          </w:p>
        </w:tc>
        <w:tc>
          <w:tcPr>
            <w:tcW w:w="3006" w:type="dxa"/>
            <w:gridSpan w:val="2"/>
          </w:tcPr>
          <w:p w14:paraId="13D8197A" w14:textId="5622FD44" w:rsidR="006054D0" w:rsidRPr="00EC39E0" w:rsidRDefault="00595692" w:rsidP="006054D0">
            <w:pPr>
              <w:autoSpaceDE w:val="0"/>
              <w:autoSpaceDN w:val="0"/>
              <w:adjustRightInd w:val="0"/>
              <w:rPr>
                <w:rFonts w:cstheme="minorHAnsi"/>
                <w:sz w:val="21"/>
                <w:szCs w:val="21"/>
              </w:rPr>
            </w:pPr>
            <w:r>
              <w:rPr>
                <w:rFonts w:cstheme="minorHAnsi"/>
                <w:sz w:val="21"/>
                <w:szCs w:val="21"/>
              </w:rPr>
              <w:t>Copies of forms of the contracts are required to be filed with the plan of operations.</w:t>
            </w:r>
          </w:p>
        </w:tc>
        <w:tc>
          <w:tcPr>
            <w:tcW w:w="1252" w:type="dxa"/>
          </w:tcPr>
          <w:p w14:paraId="4342E2B1" w14:textId="77777777" w:rsidR="006054D0" w:rsidRPr="00EC39E0" w:rsidRDefault="006054D0" w:rsidP="006054D0">
            <w:pPr>
              <w:rPr>
                <w:rFonts w:cstheme="minorHAnsi"/>
                <w:sz w:val="21"/>
                <w:szCs w:val="21"/>
              </w:rPr>
            </w:pPr>
          </w:p>
        </w:tc>
      </w:tr>
      <w:tr w:rsidR="006054D0" w:rsidRPr="00EC39E0" w14:paraId="3D15E2E6" w14:textId="5BD9BCCE" w:rsidTr="00595692">
        <w:tc>
          <w:tcPr>
            <w:tcW w:w="1092" w:type="dxa"/>
          </w:tcPr>
          <w:p w14:paraId="0AC25AD4" w14:textId="11CEFF62" w:rsidR="006054D0" w:rsidRPr="00EC39E0" w:rsidRDefault="006054D0" w:rsidP="006054D0">
            <w:pPr>
              <w:rPr>
                <w:rFonts w:cstheme="minorHAnsi"/>
                <w:sz w:val="21"/>
                <w:szCs w:val="21"/>
              </w:rPr>
            </w:pPr>
            <w:r w:rsidRPr="00EC39E0">
              <w:rPr>
                <w:rFonts w:cstheme="minorHAnsi"/>
                <w:sz w:val="21"/>
                <w:szCs w:val="21"/>
              </w:rPr>
              <w:sym w:font="Wingdings" w:char="F06F"/>
            </w:r>
          </w:p>
        </w:tc>
        <w:tc>
          <w:tcPr>
            <w:tcW w:w="2315" w:type="dxa"/>
            <w:gridSpan w:val="2"/>
          </w:tcPr>
          <w:p w14:paraId="5D232B8A" w14:textId="175AECA7" w:rsidR="006054D0" w:rsidRPr="00EC39E0" w:rsidRDefault="004F342E" w:rsidP="006054D0">
            <w:pPr>
              <w:rPr>
                <w:rFonts w:cstheme="minorHAnsi"/>
                <w:sz w:val="21"/>
                <w:szCs w:val="21"/>
              </w:rPr>
            </w:pPr>
            <w:r>
              <w:rPr>
                <w:rFonts w:cstheme="minorHAnsi"/>
                <w:sz w:val="21"/>
                <w:szCs w:val="21"/>
              </w:rPr>
              <w:t>Demonstration requirement</w:t>
            </w:r>
          </w:p>
        </w:tc>
        <w:tc>
          <w:tcPr>
            <w:tcW w:w="1685" w:type="dxa"/>
            <w:gridSpan w:val="3"/>
          </w:tcPr>
          <w:p w14:paraId="294A33A3" w14:textId="16357912" w:rsidR="006054D0" w:rsidRPr="00EC39E0" w:rsidRDefault="004F342E" w:rsidP="006054D0">
            <w:pPr>
              <w:rPr>
                <w:rFonts w:cstheme="minorHAnsi"/>
                <w:sz w:val="21"/>
                <w:szCs w:val="21"/>
              </w:rPr>
            </w:pPr>
            <w:r>
              <w:rPr>
                <w:rStyle w:val="Hyperlink"/>
                <w:rFonts w:cstheme="minorHAnsi"/>
                <w:sz w:val="21"/>
                <w:szCs w:val="21"/>
              </w:rPr>
              <w:t>Nebraska actuarial review requirement</w:t>
            </w:r>
          </w:p>
        </w:tc>
        <w:tc>
          <w:tcPr>
            <w:tcW w:w="3006" w:type="dxa"/>
            <w:gridSpan w:val="2"/>
          </w:tcPr>
          <w:p w14:paraId="5FF9EA9A" w14:textId="77777777" w:rsidR="006054D0" w:rsidRPr="00EC39E0" w:rsidRDefault="006054D0" w:rsidP="006054D0">
            <w:pPr>
              <w:autoSpaceDE w:val="0"/>
              <w:autoSpaceDN w:val="0"/>
              <w:adjustRightInd w:val="0"/>
              <w:rPr>
                <w:rFonts w:cstheme="minorHAnsi"/>
                <w:sz w:val="21"/>
                <w:szCs w:val="21"/>
              </w:rPr>
            </w:pPr>
            <w:r w:rsidRPr="00EC39E0">
              <w:rPr>
                <w:rFonts w:cstheme="minorHAnsi"/>
                <w:sz w:val="21"/>
                <w:szCs w:val="21"/>
              </w:rPr>
              <w:t xml:space="preserve">At least three (3) hypothetical return scenarios (level, increasing and decreasing) and for each of these scenarios, </w:t>
            </w:r>
          </w:p>
          <w:p w14:paraId="30EC7FED" w14:textId="77777777" w:rsidR="006054D0" w:rsidRPr="00EC39E0" w:rsidRDefault="006054D0" w:rsidP="006054D0">
            <w:pPr>
              <w:autoSpaceDE w:val="0"/>
              <w:autoSpaceDN w:val="0"/>
              <w:adjustRightInd w:val="0"/>
              <w:rPr>
                <w:rFonts w:cstheme="minorHAnsi"/>
                <w:sz w:val="21"/>
                <w:szCs w:val="21"/>
              </w:rPr>
            </w:pPr>
            <w:r w:rsidRPr="00EC39E0">
              <w:rPr>
                <w:rFonts w:cstheme="minorHAnsi"/>
                <w:sz w:val="21"/>
                <w:szCs w:val="21"/>
              </w:rPr>
              <w:t xml:space="preserve">At least three (3) withdrawal scenarios (zero, moderate and high) shall be modeled. </w:t>
            </w:r>
          </w:p>
          <w:p w14:paraId="1EABBA46" w14:textId="58799594" w:rsidR="006054D0" w:rsidRPr="00D068DC" w:rsidRDefault="006054D0" w:rsidP="006054D0">
            <w:pPr>
              <w:autoSpaceDE w:val="0"/>
              <w:autoSpaceDN w:val="0"/>
              <w:adjustRightInd w:val="0"/>
              <w:rPr>
                <w:rFonts w:cstheme="minorHAnsi"/>
                <w:i/>
                <w:sz w:val="21"/>
                <w:szCs w:val="21"/>
              </w:rPr>
            </w:pPr>
            <w:r w:rsidRPr="00EC39E0">
              <w:rPr>
                <w:rFonts w:cstheme="minorHAnsi"/>
                <w:sz w:val="21"/>
                <w:szCs w:val="21"/>
              </w:rPr>
              <w:t xml:space="preserve">The Director may require additional scenarios if deemed necessary to fully understand the risks under the class of contracts. </w:t>
            </w:r>
            <w:r w:rsidR="004F342E" w:rsidRPr="00EA1B0D">
              <w:rPr>
                <w:rFonts w:cstheme="minorHAnsi"/>
                <w:i/>
                <w:sz w:val="21"/>
                <w:szCs w:val="21"/>
                <w:highlight w:val="yellow"/>
              </w:rPr>
              <w:t>(*Subject to review by chief actuary</w:t>
            </w:r>
            <w:r w:rsidR="004F342E">
              <w:rPr>
                <w:rFonts w:cstheme="minorHAnsi"/>
                <w:i/>
                <w:sz w:val="21"/>
                <w:szCs w:val="21"/>
              </w:rPr>
              <w:t>.)</w:t>
            </w:r>
          </w:p>
        </w:tc>
        <w:tc>
          <w:tcPr>
            <w:tcW w:w="1252" w:type="dxa"/>
          </w:tcPr>
          <w:p w14:paraId="4B2D15AF" w14:textId="77777777" w:rsidR="006054D0" w:rsidRPr="00EC39E0" w:rsidRDefault="006054D0" w:rsidP="006054D0">
            <w:pPr>
              <w:rPr>
                <w:rFonts w:cstheme="minorHAnsi"/>
                <w:sz w:val="21"/>
                <w:szCs w:val="21"/>
              </w:rPr>
            </w:pPr>
          </w:p>
        </w:tc>
      </w:tr>
      <w:tr w:rsidR="006054D0" w:rsidRPr="00EC39E0" w14:paraId="2D7B7F40" w14:textId="5587FB37" w:rsidTr="00595692">
        <w:tc>
          <w:tcPr>
            <w:tcW w:w="1092" w:type="dxa"/>
          </w:tcPr>
          <w:p w14:paraId="47F769D7" w14:textId="4C7FCF73" w:rsidR="006054D0" w:rsidRPr="00EC39E0" w:rsidRDefault="006054D0" w:rsidP="006054D0">
            <w:pPr>
              <w:rPr>
                <w:rFonts w:cstheme="minorHAnsi"/>
                <w:sz w:val="21"/>
                <w:szCs w:val="21"/>
              </w:rPr>
            </w:pPr>
            <w:r w:rsidRPr="00EC39E0">
              <w:rPr>
                <w:rFonts w:cstheme="minorHAnsi"/>
                <w:sz w:val="21"/>
                <w:szCs w:val="21"/>
              </w:rPr>
              <w:sym w:font="Wingdings" w:char="F06F"/>
            </w:r>
          </w:p>
        </w:tc>
        <w:tc>
          <w:tcPr>
            <w:tcW w:w="2315" w:type="dxa"/>
            <w:gridSpan w:val="2"/>
          </w:tcPr>
          <w:p w14:paraId="79A42B8D" w14:textId="7DF248D8" w:rsidR="006054D0" w:rsidRPr="00EC39E0" w:rsidRDefault="006054D0" w:rsidP="006054D0">
            <w:pPr>
              <w:rPr>
                <w:rFonts w:cstheme="minorHAnsi"/>
                <w:sz w:val="21"/>
                <w:szCs w:val="21"/>
              </w:rPr>
            </w:pPr>
            <w:r w:rsidRPr="00EC39E0">
              <w:rPr>
                <w:rFonts w:cstheme="minorHAnsi"/>
                <w:sz w:val="21"/>
                <w:szCs w:val="21"/>
              </w:rPr>
              <w:t xml:space="preserve">5 year illustration </w:t>
            </w:r>
          </w:p>
        </w:tc>
        <w:tc>
          <w:tcPr>
            <w:tcW w:w="1685" w:type="dxa"/>
            <w:gridSpan w:val="3"/>
          </w:tcPr>
          <w:p w14:paraId="2A27C73F" w14:textId="1C725612" w:rsidR="006054D0" w:rsidRPr="00EC39E0" w:rsidRDefault="00F61BD1" w:rsidP="004F342E">
            <w:pPr>
              <w:rPr>
                <w:rFonts w:cstheme="minorHAnsi"/>
                <w:sz w:val="21"/>
                <w:szCs w:val="21"/>
              </w:rPr>
            </w:pPr>
            <w:hyperlink r:id="rId18" w:history="1">
              <w:r w:rsidR="004F342E">
                <w:rPr>
                  <w:rStyle w:val="Hyperlink"/>
                  <w:rFonts w:cstheme="minorHAnsi"/>
                  <w:sz w:val="21"/>
                  <w:szCs w:val="21"/>
                </w:rPr>
                <w:t>Nebraska</w:t>
              </w:r>
            </w:hyperlink>
            <w:r w:rsidR="004F342E">
              <w:rPr>
                <w:rStyle w:val="Hyperlink"/>
                <w:rFonts w:cstheme="minorHAnsi"/>
                <w:sz w:val="21"/>
                <w:szCs w:val="21"/>
              </w:rPr>
              <w:t xml:space="preserve"> actuarial review requirement</w:t>
            </w:r>
          </w:p>
        </w:tc>
        <w:tc>
          <w:tcPr>
            <w:tcW w:w="3006" w:type="dxa"/>
            <w:gridSpan w:val="2"/>
          </w:tcPr>
          <w:p w14:paraId="192F9EE8" w14:textId="77777777" w:rsidR="006054D0" w:rsidRPr="00EC39E0" w:rsidRDefault="006054D0" w:rsidP="006054D0">
            <w:pPr>
              <w:autoSpaceDE w:val="0"/>
              <w:autoSpaceDN w:val="0"/>
              <w:adjustRightInd w:val="0"/>
              <w:rPr>
                <w:rFonts w:cstheme="minorHAnsi"/>
                <w:color w:val="000000"/>
                <w:sz w:val="21"/>
                <w:szCs w:val="21"/>
              </w:rPr>
            </w:pPr>
            <w:r w:rsidRPr="00EC39E0">
              <w:rPr>
                <w:rFonts w:cstheme="minorHAnsi"/>
                <w:color w:val="000000"/>
                <w:sz w:val="21"/>
                <w:szCs w:val="21"/>
              </w:rPr>
              <w:t xml:space="preserve">The demonstration period </w:t>
            </w:r>
          </w:p>
          <w:p w14:paraId="53137BA6" w14:textId="695CC2A9" w:rsidR="006054D0" w:rsidRPr="00EC39E0" w:rsidRDefault="006054D0" w:rsidP="006054D0">
            <w:pPr>
              <w:autoSpaceDE w:val="0"/>
              <w:autoSpaceDN w:val="0"/>
              <w:adjustRightInd w:val="0"/>
              <w:rPr>
                <w:rFonts w:cstheme="minorHAnsi"/>
                <w:sz w:val="21"/>
                <w:szCs w:val="21"/>
              </w:rPr>
            </w:pPr>
            <w:proofErr w:type="gramStart"/>
            <w:r w:rsidRPr="00EC39E0">
              <w:rPr>
                <w:rFonts w:cstheme="minorHAnsi"/>
                <w:color w:val="000000"/>
                <w:sz w:val="21"/>
                <w:szCs w:val="21"/>
              </w:rPr>
              <w:t>must</w:t>
            </w:r>
            <w:proofErr w:type="gramEnd"/>
            <w:r w:rsidRPr="00EC39E0">
              <w:rPr>
                <w:rFonts w:cstheme="minorHAnsi"/>
                <w:color w:val="000000"/>
                <w:sz w:val="21"/>
                <w:szCs w:val="21"/>
              </w:rPr>
              <w:t xml:space="preserve"> be the greater of five (5) years or the minimum period the insurer must underwrite the risk</w:t>
            </w:r>
            <w:r w:rsidR="004F342E">
              <w:rPr>
                <w:rFonts w:cstheme="minorHAnsi"/>
                <w:color w:val="000000"/>
                <w:sz w:val="21"/>
                <w:szCs w:val="21"/>
              </w:rPr>
              <w:t xml:space="preserve"> </w:t>
            </w:r>
            <w:r w:rsidR="004F342E">
              <w:rPr>
                <w:rFonts w:cstheme="minorHAnsi"/>
                <w:i/>
                <w:sz w:val="21"/>
                <w:szCs w:val="21"/>
              </w:rPr>
              <w:t>(</w:t>
            </w:r>
            <w:r w:rsidR="004F342E" w:rsidRPr="00EA1B0D">
              <w:rPr>
                <w:rFonts w:cstheme="minorHAnsi"/>
                <w:i/>
                <w:sz w:val="21"/>
                <w:szCs w:val="21"/>
                <w:highlight w:val="yellow"/>
              </w:rPr>
              <w:t>*Subject to review by chief actuary.)</w:t>
            </w:r>
          </w:p>
        </w:tc>
        <w:tc>
          <w:tcPr>
            <w:tcW w:w="1252" w:type="dxa"/>
          </w:tcPr>
          <w:p w14:paraId="5CBD4E9C" w14:textId="77777777" w:rsidR="006054D0" w:rsidRPr="00EC39E0" w:rsidRDefault="006054D0" w:rsidP="006054D0">
            <w:pPr>
              <w:rPr>
                <w:rFonts w:cstheme="minorHAnsi"/>
                <w:sz w:val="21"/>
                <w:szCs w:val="21"/>
              </w:rPr>
            </w:pPr>
          </w:p>
        </w:tc>
      </w:tr>
      <w:tr w:rsidR="006054D0" w:rsidRPr="00EC39E0" w14:paraId="23819014" w14:textId="77777777" w:rsidTr="00595692">
        <w:tc>
          <w:tcPr>
            <w:tcW w:w="1092" w:type="dxa"/>
            <w:shd w:val="clear" w:color="auto" w:fill="E7E6E6" w:themeFill="background2"/>
          </w:tcPr>
          <w:p w14:paraId="5C49B0B7" w14:textId="77777777" w:rsidR="006054D0" w:rsidRPr="00EC39E0" w:rsidRDefault="006054D0" w:rsidP="006054D0">
            <w:pPr>
              <w:rPr>
                <w:rFonts w:cstheme="minorHAnsi"/>
                <w:sz w:val="21"/>
                <w:szCs w:val="21"/>
              </w:rPr>
            </w:pPr>
          </w:p>
        </w:tc>
        <w:tc>
          <w:tcPr>
            <w:tcW w:w="8258" w:type="dxa"/>
            <w:gridSpan w:val="8"/>
            <w:shd w:val="clear" w:color="auto" w:fill="E7E6E6" w:themeFill="background2"/>
          </w:tcPr>
          <w:p w14:paraId="120D4E4D" w14:textId="001FE664" w:rsidR="006054D0" w:rsidRPr="00EC39E0" w:rsidRDefault="00C2365C" w:rsidP="006054D0">
            <w:pPr>
              <w:rPr>
                <w:rFonts w:cstheme="minorHAnsi"/>
                <w:b/>
                <w:sz w:val="21"/>
                <w:szCs w:val="21"/>
              </w:rPr>
            </w:pPr>
            <w:r w:rsidRPr="00EC39E0">
              <w:rPr>
                <w:rFonts w:cstheme="minorHAnsi"/>
                <w:b/>
                <w:sz w:val="21"/>
                <w:szCs w:val="21"/>
              </w:rPr>
              <w:t>INVESTMENTS and RISKS</w:t>
            </w:r>
          </w:p>
        </w:tc>
      </w:tr>
      <w:tr w:rsidR="00C2365C" w:rsidRPr="00EC39E0" w14:paraId="7EC5467E" w14:textId="77777777" w:rsidTr="00595692">
        <w:tc>
          <w:tcPr>
            <w:tcW w:w="1092" w:type="dxa"/>
            <w:shd w:val="clear" w:color="auto" w:fill="FFFFFF" w:themeFill="background1"/>
          </w:tcPr>
          <w:p w14:paraId="5AB75464" w14:textId="66C4F55C" w:rsidR="00C2365C" w:rsidRPr="00EC39E0" w:rsidRDefault="008E548D"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462D76F1" w14:textId="445079AF" w:rsidR="00C2365C" w:rsidRPr="00EC39E0" w:rsidRDefault="008E548D" w:rsidP="005B4DA5">
            <w:pPr>
              <w:rPr>
                <w:rFonts w:cstheme="minorHAnsi"/>
                <w:sz w:val="21"/>
                <w:szCs w:val="21"/>
              </w:rPr>
            </w:pPr>
            <w:r w:rsidRPr="00EC39E0">
              <w:rPr>
                <w:rFonts w:cstheme="minorHAnsi"/>
                <w:sz w:val="21"/>
                <w:szCs w:val="21"/>
              </w:rPr>
              <w:t>Investment Parameters</w:t>
            </w:r>
          </w:p>
        </w:tc>
        <w:tc>
          <w:tcPr>
            <w:tcW w:w="1685" w:type="dxa"/>
            <w:gridSpan w:val="3"/>
            <w:shd w:val="clear" w:color="auto" w:fill="FFFFFF" w:themeFill="background1"/>
          </w:tcPr>
          <w:p w14:paraId="5938C3A1" w14:textId="4DC35A6E" w:rsidR="00C2365C" w:rsidRPr="00EC39E0" w:rsidRDefault="004F342E" w:rsidP="005B4DA5">
            <w:pPr>
              <w:rPr>
                <w:rStyle w:val="Hyperlink"/>
                <w:rFonts w:cstheme="minorHAnsi"/>
                <w:sz w:val="21"/>
                <w:szCs w:val="21"/>
              </w:rPr>
            </w:pPr>
            <w:r>
              <w:rPr>
                <w:rFonts w:cstheme="minorHAnsi"/>
                <w:sz w:val="21"/>
                <w:szCs w:val="21"/>
              </w:rPr>
              <w:t xml:space="preserve"> </w:t>
            </w:r>
            <w:hyperlink r:id="rId19" w:history="1">
              <w:r w:rsidRPr="00263CAC">
                <w:rPr>
                  <w:rStyle w:val="Hyperlink"/>
                  <w:rFonts w:cstheme="minorHAnsi"/>
                  <w:sz w:val="21"/>
                  <w:szCs w:val="21"/>
                </w:rPr>
                <w:t>NAIC Model 200 § 5B</w:t>
              </w:r>
              <w:r w:rsidR="00B04E87" w:rsidRPr="00263CAC">
                <w:rPr>
                  <w:rStyle w:val="Hyperlink"/>
                  <w:rFonts w:cstheme="minorHAnsi"/>
                  <w:sz w:val="21"/>
                  <w:szCs w:val="21"/>
                </w:rPr>
                <w:t>(3)</w:t>
              </w:r>
            </w:hyperlink>
          </w:p>
        </w:tc>
        <w:tc>
          <w:tcPr>
            <w:tcW w:w="3006" w:type="dxa"/>
            <w:gridSpan w:val="2"/>
            <w:shd w:val="clear" w:color="auto" w:fill="FFFFFF" w:themeFill="background1"/>
          </w:tcPr>
          <w:p w14:paraId="71B5EDA6" w14:textId="455D4BCF" w:rsidR="00C2365C" w:rsidRPr="00EC39E0" w:rsidRDefault="00B04E87" w:rsidP="005B4DA5">
            <w:pPr>
              <w:rPr>
                <w:rFonts w:cstheme="minorHAnsi"/>
                <w:sz w:val="21"/>
                <w:szCs w:val="21"/>
              </w:rPr>
            </w:pPr>
            <w:r>
              <w:rPr>
                <w:rFonts w:cstheme="minorHAnsi"/>
                <w:sz w:val="21"/>
                <w:szCs w:val="21"/>
              </w:rPr>
              <w:t>Statement of the investment policy for the separate account and any supplemental account, including requirements for diversification, maturity, type and quality of assets, and as applicable, target duration for matching GC liabilities or the degree to which the investment policy is likely to match the performance of an interest rate series or index on which contract benefits are based.</w:t>
            </w:r>
          </w:p>
        </w:tc>
        <w:tc>
          <w:tcPr>
            <w:tcW w:w="1252" w:type="dxa"/>
            <w:shd w:val="clear" w:color="auto" w:fill="FFFFFF" w:themeFill="background1"/>
          </w:tcPr>
          <w:p w14:paraId="6B6AE44D" w14:textId="77777777" w:rsidR="00C2365C" w:rsidRPr="00EC39E0" w:rsidRDefault="00C2365C" w:rsidP="005B4DA5">
            <w:pPr>
              <w:rPr>
                <w:rFonts w:cstheme="minorHAnsi"/>
                <w:sz w:val="21"/>
                <w:szCs w:val="21"/>
              </w:rPr>
            </w:pPr>
          </w:p>
        </w:tc>
      </w:tr>
      <w:tr w:rsidR="0056393C" w:rsidRPr="00EC39E0" w14:paraId="507DB376" w14:textId="77777777" w:rsidTr="00595692">
        <w:tc>
          <w:tcPr>
            <w:tcW w:w="1092" w:type="dxa"/>
            <w:shd w:val="clear" w:color="auto" w:fill="FFFFFF" w:themeFill="background1"/>
          </w:tcPr>
          <w:p w14:paraId="7DCE865B" w14:textId="4466101F" w:rsidR="0056393C" w:rsidRPr="00EC39E0" w:rsidRDefault="0056393C"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77055B00" w14:textId="0BFBB459" w:rsidR="0056393C" w:rsidRPr="00EC39E0" w:rsidRDefault="0056393C" w:rsidP="005B4DA5">
            <w:pPr>
              <w:rPr>
                <w:rFonts w:cstheme="minorHAnsi"/>
                <w:sz w:val="21"/>
                <w:szCs w:val="21"/>
              </w:rPr>
            </w:pPr>
            <w:r>
              <w:rPr>
                <w:rFonts w:cstheme="minorHAnsi"/>
                <w:sz w:val="21"/>
                <w:szCs w:val="21"/>
              </w:rPr>
              <w:t>Description of how value will be determined</w:t>
            </w:r>
          </w:p>
        </w:tc>
        <w:tc>
          <w:tcPr>
            <w:tcW w:w="1685" w:type="dxa"/>
            <w:gridSpan w:val="3"/>
            <w:shd w:val="clear" w:color="auto" w:fill="FFFFFF" w:themeFill="background1"/>
          </w:tcPr>
          <w:p w14:paraId="2380F847" w14:textId="22671ACB" w:rsidR="0056393C" w:rsidDel="00B04E87" w:rsidRDefault="00F61BD1" w:rsidP="005B4DA5">
            <w:hyperlink r:id="rId20" w:history="1">
              <w:r w:rsidR="0056393C" w:rsidRPr="00263CAC">
                <w:rPr>
                  <w:rStyle w:val="Hyperlink"/>
                </w:rPr>
                <w:t>NAIC Model 200 § 5B(4)</w:t>
              </w:r>
            </w:hyperlink>
          </w:p>
        </w:tc>
        <w:tc>
          <w:tcPr>
            <w:tcW w:w="3006" w:type="dxa"/>
            <w:gridSpan w:val="2"/>
            <w:shd w:val="clear" w:color="auto" w:fill="FFFFFF" w:themeFill="background1"/>
          </w:tcPr>
          <w:p w14:paraId="25C17737" w14:textId="2DDD0CFF" w:rsidR="0056393C" w:rsidRPr="00EC39E0" w:rsidRDefault="0056393C" w:rsidP="005B4DA5">
            <w:pPr>
              <w:rPr>
                <w:rFonts w:cstheme="minorHAnsi"/>
                <w:sz w:val="21"/>
                <w:szCs w:val="21"/>
              </w:rPr>
            </w:pPr>
            <w:r>
              <w:rPr>
                <w:rFonts w:cstheme="minorHAnsi"/>
                <w:sz w:val="21"/>
                <w:szCs w:val="21"/>
              </w:rPr>
              <w:t xml:space="preserve">Description of how the value of the separate account assets and any supplemental account is to be determined, including but not limited to, a statement of procedures and rules for valuing </w:t>
            </w:r>
            <w:r>
              <w:rPr>
                <w:rFonts w:cstheme="minorHAnsi"/>
                <w:sz w:val="21"/>
                <w:szCs w:val="21"/>
              </w:rPr>
              <w:lastRenderedPageBreak/>
              <w:t>securities and other assets that are not publicly traded.</w:t>
            </w:r>
          </w:p>
        </w:tc>
        <w:tc>
          <w:tcPr>
            <w:tcW w:w="1252" w:type="dxa"/>
            <w:shd w:val="clear" w:color="auto" w:fill="FFFFFF" w:themeFill="background1"/>
          </w:tcPr>
          <w:p w14:paraId="0A072E09" w14:textId="77777777" w:rsidR="0056393C" w:rsidRPr="00EC39E0" w:rsidRDefault="0056393C" w:rsidP="005B4DA5">
            <w:pPr>
              <w:rPr>
                <w:rFonts w:cstheme="minorHAnsi"/>
                <w:sz w:val="21"/>
                <w:szCs w:val="21"/>
              </w:rPr>
            </w:pPr>
          </w:p>
        </w:tc>
      </w:tr>
      <w:tr w:rsidR="0056393C" w:rsidRPr="00EC39E0" w14:paraId="720F9398" w14:textId="77777777" w:rsidTr="00595692">
        <w:tc>
          <w:tcPr>
            <w:tcW w:w="1092" w:type="dxa"/>
            <w:shd w:val="clear" w:color="auto" w:fill="FFFFFF" w:themeFill="background1"/>
          </w:tcPr>
          <w:p w14:paraId="5BE67E20" w14:textId="76C2DBCE" w:rsidR="0056393C" w:rsidRPr="00EC39E0" w:rsidRDefault="0056393C"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34818158" w14:textId="1E3EE6FB" w:rsidR="0056393C" w:rsidRDefault="0056393C" w:rsidP="005B4DA5">
            <w:pPr>
              <w:rPr>
                <w:rFonts w:cstheme="minorHAnsi"/>
                <w:sz w:val="21"/>
                <w:szCs w:val="21"/>
              </w:rPr>
            </w:pPr>
            <w:r>
              <w:rPr>
                <w:rFonts w:cstheme="minorHAnsi"/>
                <w:sz w:val="21"/>
                <w:szCs w:val="21"/>
              </w:rPr>
              <w:t>Description of how liabilities will be valued</w:t>
            </w:r>
          </w:p>
        </w:tc>
        <w:tc>
          <w:tcPr>
            <w:tcW w:w="1685" w:type="dxa"/>
            <w:gridSpan w:val="3"/>
            <w:shd w:val="clear" w:color="auto" w:fill="FFFFFF" w:themeFill="background1"/>
          </w:tcPr>
          <w:p w14:paraId="674BE023" w14:textId="7135F631" w:rsidR="0056393C" w:rsidRDefault="00F61BD1" w:rsidP="005B4DA5">
            <w:hyperlink r:id="rId21" w:history="1">
              <w:r w:rsidR="0056393C" w:rsidRPr="00263CAC">
                <w:rPr>
                  <w:rStyle w:val="Hyperlink"/>
                </w:rPr>
                <w:t>NAIC Model 200 § 5B(5)</w:t>
              </w:r>
            </w:hyperlink>
          </w:p>
        </w:tc>
        <w:tc>
          <w:tcPr>
            <w:tcW w:w="3006" w:type="dxa"/>
            <w:gridSpan w:val="2"/>
            <w:shd w:val="clear" w:color="auto" w:fill="FFFFFF" w:themeFill="background1"/>
          </w:tcPr>
          <w:p w14:paraId="317EDB87" w14:textId="77777777" w:rsidR="0056393C" w:rsidRDefault="0056393C" w:rsidP="005B4DA5">
            <w:pPr>
              <w:rPr>
                <w:rFonts w:cstheme="minorHAnsi"/>
                <w:sz w:val="21"/>
                <w:szCs w:val="21"/>
              </w:rPr>
            </w:pPr>
            <w:r>
              <w:rPr>
                <w:rFonts w:cstheme="minorHAnsi"/>
                <w:sz w:val="21"/>
                <w:szCs w:val="21"/>
              </w:rPr>
              <w:t xml:space="preserve">Description of how the GC liabilities are to be valued, including, if applicable, with respect to guaranteed minimum benefits or other benefits, a description of the methodology for calculating spot rates and the rates proposed to be used to discount GC liabilities if higher than the applicable spot rates, but the rate or rates used shall not exceed the blended spot rate, with exceptions listed at Model 200 § </w:t>
            </w:r>
            <w:proofErr w:type="gramStart"/>
            <w:r>
              <w:rPr>
                <w:rFonts w:cstheme="minorHAnsi"/>
                <w:sz w:val="21"/>
                <w:szCs w:val="21"/>
              </w:rPr>
              <w:t>B(</w:t>
            </w:r>
            <w:proofErr w:type="gramEnd"/>
            <w:r>
              <w:rPr>
                <w:rFonts w:cstheme="minorHAnsi"/>
                <w:sz w:val="21"/>
                <w:szCs w:val="21"/>
              </w:rPr>
              <w:t>5).</w:t>
            </w:r>
          </w:p>
          <w:p w14:paraId="64E29061" w14:textId="323C356A" w:rsidR="0056393C" w:rsidRDefault="0056393C" w:rsidP="005B4DA5">
            <w:pPr>
              <w:rPr>
                <w:rFonts w:cstheme="minorHAnsi"/>
                <w:sz w:val="21"/>
                <w:szCs w:val="21"/>
              </w:rPr>
            </w:pPr>
            <w:r w:rsidRPr="004D1C8C">
              <w:rPr>
                <w:rFonts w:cstheme="minorHAnsi"/>
                <w:i/>
                <w:sz w:val="21"/>
                <w:szCs w:val="21"/>
              </w:rPr>
              <w:t>(*Subject to review by chief actuary)</w:t>
            </w:r>
          </w:p>
        </w:tc>
        <w:tc>
          <w:tcPr>
            <w:tcW w:w="1252" w:type="dxa"/>
            <w:shd w:val="clear" w:color="auto" w:fill="FFFFFF" w:themeFill="background1"/>
          </w:tcPr>
          <w:p w14:paraId="62C9C821" w14:textId="77777777" w:rsidR="0056393C" w:rsidRPr="00EC39E0" w:rsidRDefault="0056393C" w:rsidP="005B4DA5">
            <w:pPr>
              <w:rPr>
                <w:rFonts w:cstheme="minorHAnsi"/>
                <w:sz w:val="21"/>
                <w:szCs w:val="21"/>
              </w:rPr>
            </w:pPr>
          </w:p>
        </w:tc>
      </w:tr>
      <w:tr w:rsidR="0056393C" w:rsidRPr="00EC39E0" w14:paraId="31E02149" w14:textId="77777777" w:rsidTr="00595692">
        <w:tc>
          <w:tcPr>
            <w:tcW w:w="1092" w:type="dxa"/>
            <w:shd w:val="clear" w:color="auto" w:fill="FFFFFF" w:themeFill="background1"/>
          </w:tcPr>
          <w:p w14:paraId="020BD70F" w14:textId="5482D105" w:rsidR="0056393C" w:rsidRPr="00EC39E0" w:rsidRDefault="0056393C"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1B461220" w14:textId="557BD5E7" w:rsidR="0056393C" w:rsidRPr="00EC39E0" w:rsidRDefault="0056393C" w:rsidP="005B4DA5">
            <w:pPr>
              <w:rPr>
                <w:rFonts w:cstheme="minorHAnsi"/>
                <w:sz w:val="21"/>
                <w:szCs w:val="21"/>
              </w:rPr>
            </w:pPr>
            <w:r>
              <w:rPr>
                <w:rFonts w:cstheme="minorHAnsi"/>
                <w:sz w:val="21"/>
                <w:szCs w:val="21"/>
              </w:rPr>
              <w:t>De</w:t>
            </w:r>
            <w:r w:rsidR="00611EC3">
              <w:rPr>
                <w:rFonts w:cstheme="minorHAnsi"/>
                <w:sz w:val="21"/>
                <w:szCs w:val="21"/>
              </w:rPr>
              <w:t>scription of method for payment estimations</w:t>
            </w:r>
          </w:p>
        </w:tc>
        <w:tc>
          <w:tcPr>
            <w:tcW w:w="1685" w:type="dxa"/>
            <w:gridSpan w:val="3"/>
            <w:shd w:val="clear" w:color="auto" w:fill="FFFFFF" w:themeFill="background1"/>
          </w:tcPr>
          <w:p w14:paraId="6A320787" w14:textId="3F7DB8D9" w:rsidR="0056393C" w:rsidDel="00B04E87" w:rsidRDefault="00F61BD1" w:rsidP="005B4DA5">
            <w:hyperlink r:id="rId22" w:history="1">
              <w:r w:rsidR="0056393C" w:rsidRPr="00263CAC">
                <w:rPr>
                  <w:rStyle w:val="Hyperlink"/>
                </w:rPr>
                <w:t>NAIC Model 200 § B(6)</w:t>
              </w:r>
              <w:r w:rsidR="00611EC3" w:rsidRPr="00263CAC">
                <w:rPr>
                  <w:rStyle w:val="Hyperlink"/>
                </w:rPr>
                <w:t>(a)</w:t>
              </w:r>
            </w:hyperlink>
          </w:p>
        </w:tc>
        <w:tc>
          <w:tcPr>
            <w:tcW w:w="3006" w:type="dxa"/>
            <w:gridSpan w:val="2"/>
            <w:shd w:val="clear" w:color="auto" w:fill="FFFFFF" w:themeFill="background1"/>
          </w:tcPr>
          <w:p w14:paraId="7F442A0E" w14:textId="16C3770B" w:rsidR="0056393C" w:rsidRDefault="0056393C" w:rsidP="005B4DA5">
            <w:pPr>
              <w:rPr>
                <w:rFonts w:cstheme="minorHAnsi"/>
                <w:sz w:val="21"/>
                <w:szCs w:val="21"/>
              </w:rPr>
            </w:pPr>
            <w:r>
              <w:rPr>
                <w:rFonts w:cstheme="minorHAnsi"/>
                <w:sz w:val="21"/>
                <w:szCs w:val="21"/>
              </w:rPr>
              <w:t>Description of the method for estimating the amount and timing of benefit payments</w:t>
            </w:r>
          </w:p>
          <w:p w14:paraId="1C57B5D7" w14:textId="0723411B" w:rsidR="0056393C" w:rsidRPr="00EC39E0" w:rsidRDefault="0056393C" w:rsidP="005B4DA5">
            <w:pPr>
              <w:rPr>
                <w:rFonts w:cstheme="minorHAnsi"/>
                <w:sz w:val="21"/>
                <w:szCs w:val="21"/>
              </w:rPr>
            </w:pPr>
            <w:r w:rsidRPr="004D1C8C">
              <w:rPr>
                <w:rFonts w:cstheme="minorHAnsi"/>
                <w:i/>
                <w:sz w:val="21"/>
                <w:szCs w:val="21"/>
              </w:rPr>
              <w:t>(</w:t>
            </w:r>
            <w:r w:rsidRPr="00EA1B0D">
              <w:rPr>
                <w:rFonts w:cstheme="minorHAnsi"/>
                <w:i/>
                <w:sz w:val="21"/>
                <w:szCs w:val="21"/>
                <w:highlight w:val="yellow"/>
              </w:rPr>
              <w:t>*Subject to review by chief actuary)</w:t>
            </w:r>
          </w:p>
        </w:tc>
        <w:tc>
          <w:tcPr>
            <w:tcW w:w="1252" w:type="dxa"/>
            <w:shd w:val="clear" w:color="auto" w:fill="FFFFFF" w:themeFill="background1"/>
          </w:tcPr>
          <w:p w14:paraId="6BE7ACE1" w14:textId="77777777" w:rsidR="0056393C" w:rsidRPr="00EC39E0" w:rsidRDefault="0056393C" w:rsidP="005B4DA5">
            <w:pPr>
              <w:rPr>
                <w:rFonts w:cstheme="minorHAnsi"/>
                <w:sz w:val="21"/>
                <w:szCs w:val="21"/>
              </w:rPr>
            </w:pPr>
          </w:p>
        </w:tc>
      </w:tr>
      <w:tr w:rsidR="0056393C" w:rsidRPr="00EC39E0" w14:paraId="186B009E" w14:textId="77777777" w:rsidTr="00595692">
        <w:tc>
          <w:tcPr>
            <w:tcW w:w="1092" w:type="dxa"/>
            <w:shd w:val="clear" w:color="auto" w:fill="FFFFFF" w:themeFill="background1"/>
          </w:tcPr>
          <w:p w14:paraId="316F630A" w14:textId="337AECBC" w:rsidR="0056393C" w:rsidRPr="00EC39E0" w:rsidRDefault="0056393C"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1937320E" w14:textId="5FE2A1D7" w:rsidR="0056393C" w:rsidRPr="00EC39E0" w:rsidRDefault="00611EC3" w:rsidP="005B4DA5">
            <w:pPr>
              <w:rPr>
                <w:rFonts w:cstheme="minorHAnsi"/>
                <w:sz w:val="21"/>
                <w:szCs w:val="21"/>
              </w:rPr>
            </w:pPr>
            <w:r>
              <w:rPr>
                <w:rFonts w:cstheme="minorHAnsi"/>
                <w:sz w:val="21"/>
                <w:szCs w:val="21"/>
              </w:rPr>
              <w:t>Provide liquidity over contingencies</w:t>
            </w:r>
          </w:p>
        </w:tc>
        <w:tc>
          <w:tcPr>
            <w:tcW w:w="1685" w:type="dxa"/>
            <w:gridSpan w:val="3"/>
            <w:shd w:val="clear" w:color="auto" w:fill="FFFFFF" w:themeFill="background1"/>
          </w:tcPr>
          <w:p w14:paraId="7587F822" w14:textId="32FFE2C6" w:rsidR="0056393C" w:rsidDel="00B04E87" w:rsidRDefault="00F61BD1" w:rsidP="005B4DA5">
            <w:hyperlink r:id="rId23" w:history="1">
              <w:r w:rsidR="0056393C" w:rsidRPr="00263CAC">
                <w:rPr>
                  <w:rStyle w:val="Hyperlink"/>
                </w:rPr>
                <w:t>NAIC Model 200 § B(6)</w:t>
              </w:r>
              <w:r w:rsidR="00611EC3" w:rsidRPr="00263CAC">
                <w:rPr>
                  <w:rStyle w:val="Hyperlink"/>
                </w:rPr>
                <w:t>(b)</w:t>
              </w:r>
            </w:hyperlink>
          </w:p>
        </w:tc>
        <w:tc>
          <w:tcPr>
            <w:tcW w:w="3006" w:type="dxa"/>
            <w:gridSpan w:val="2"/>
            <w:shd w:val="clear" w:color="auto" w:fill="FFFFFF" w:themeFill="background1"/>
          </w:tcPr>
          <w:p w14:paraId="72181FF8" w14:textId="7E36A9C0" w:rsidR="0056393C" w:rsidRDefault="00611EC3" w:rsidP="005B4DA5">
            <w:pPr>
              <w:rPr>
                <w:rFonts w:cstheme="minorHAnsi"/>
                <w:sz w:val="21"/>
                <w:szCs w:val="21"/>
              </w:rPr>
            </w:pPr>
            <w:r>
              <w:rPr>
                <w:rFonts w:cstheme="minorHAnsi"/>
                <w:sz w:val="21"/>
                <w:szCs w:val="21"/>
              </w:rPr>
              <w:t>Arrangements necessary to provide liquidity to cover contingencies</w:t>
            </w:r>
          </w:p>
          <w:p w14:paraId="7C472144" w14:textId="4C3A88FB" w:rsidR="0056393C" w:rsidRPr="00EC39E0" w:rsidRDefault="0056393C" w:rsidP="005B4DA5">
            <w:pPr>
              <w:rPr>
                <w:rFonts w:cstheme="minorHAnsi"/>
                <w:sz w:val="21"/>
                <w:szCs w:val="21"/>
              </w:rPr>
            </w:pPr>
            <w:r w:rsidRPr="004D1C8C">
              <w:rPr>
                <w:rFonts w:cstheme="minorHAnsi"/>
                <w:i/>
                <w:sz w:val="21"/>
                <w:szCs w:val="21"/>
              </w:rPr>
              <w:t>(</w:t>
            </w:r>
            <w:r w:rsidRPr="00EA1B0D">
              <w:rPr>
                <w:rFonts w:cstheme="minorHAnsi"/>
                <w:i/>
                <w:sz w:val="21"/>
                <w:szCs w:val="21"/>
                <w:highlight w:val="yellow"/>
              </w:rPr>
              <w:t>*Subject to review by chief actuary)</w:t>
            </w:r>
          </w:p>
        </w:tc>
        <w:tc>
          <w:tcPr>
            <w:tcW w:w="1252" w:type="dxa"/>
            <w:shd w:val="clear" w:color="auto" w:fill="FFFFFF" w:themeFill="background1"/>
          </w:tcPr>
          <w:p w14:paraId="4FD423B7" w14:textId="77777777" w:rsidR="0056393C" w:rsidRPr="00EC39E0" w:rsidRDefault="0056393C" w:rsidP="005B4DA5">
            <w:pPr>
              <w:rPr>
                <w:rFonts w:cstheme="minorHAnsi"/>
                <w:sz w:val="21"/>
                <w:szCs w:val="21"/>
              </w:rPr>
            </w:pPr>
          </w:p>
        </w:tc>
      </w:tr>
      <w:tr w:rsidR="0056393C" w:rsidRPr="00EC39E0" w14:paraId="1D69365C" w14:textId="77777777" w:rsidTr="00595692">
        <w:tc>
          <w:tcPr>
            <w:tcW w:w="1092" w:type="dxa"/>
            <w:shd w:val="clear" w:color="auto" w:fill="FFFFFF" w:themeFill="background1"/>
          </w:tcPr>
          <w:p w14:paraId="487D3932" w14:textId="6E4EB39D" w:rsidR="0056393C" w:rsidRPr="00EC39E0" w:rsidRDefault="0056393C"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0707FF5F" w14:textId="66CDF148" w:rsidR="0056393C" w:rsidRPr="00EC39E0" w:rsidRDefault="00611EC3" w:rsidP="005B4DA5">
            <w:pPr>
              <w:rPr>
                <w:rFonts w:cstheme="minorHAnsi"/>
                <w:sz w:val="21"/>
                <w:szCs w:val="21"/>
              </w:rPr>
            </w:pPr>
            <w:r>
              <w:rPr>
                <w:rFonts w:cstheme="minorHAnsi"/>
                <w:sz w:val="21"/>
                <w:szCs w:val="21"/>
              </w:rPr>
              <w:t>Asset maintenance</w:t>
            </w:r>
          </w:p>
        </w:tc>
        <w:tc>
          <w:tcPr>
            <w:tcW w:w="1685" w:type="dxa"/>
            <w:gridSpan w:val="3"/>
            <w:shd w:val="clear" w:color="auto" w:fill="FFFFFF" w:themeFill="background1"/>
          </w:tcPr>
          <w:p w14:paraId="58DC8892" w14:textId="29629E08" w:rsidR="0056393C" w:rsidDel="00B04E87" w:rsidRDefault="00F61BD1" w:rsidP="005B4DA5">
            <w:hyperlink r:id="rId24" w:history="1">
              <w:r w:rsidR="0056393C" w:rsidRPr="00263CAC">
                <w:rPr>
                  <w:rStyle w:val="Hyperlink"/>
                </w:rPr>
                <w:t>NAIC Model 200 § B(6)</w:t>
              </w:r>
              <w:r w:rsidR="00611EC3" w:rsidRPr="00263CAC">
                <w:rPr>
                  <w:rStyle w:val="Hyperlink"/>
                </w:rPr>
                <w:t>(c)</w:t>
              </w:r>
            </w:hyperlink>
          </w:p>
        </w:tc>
        <w:tc>
          <w:tcPr>
            <w:tcW w:w="3006" w:type="dxa"/>
            <w:gridSpan w:val="2"/>
            <w:shd w:val="clear" w:color="auto" w:fill="FFFFFF" w:themeFill="background1"/>
          </w:tcPr>
          <w:p w14:paraId="2F014195" w14:textId="6575A4B8" w:rsidR="0056393C" w:rsidRDefault="00611EC3" w:rsidP="005B4DA5">
            <w:pPr>
              <w:rPr>
                <w:rFonts w:cstheme="minorHAnsi"/>
                <w:sz w:val="21"/>
                <w:szCs w:val="21"/>
              </w:rPr>
            </w:pPr>
            <w:r>
              <w:rPr>
                <w:rFonts w:cstheme="minorHAnsi"/>
                <w:sz w:val="21"/>
                <w:szCs w:val="21"/>
              </w:rPr>
              <w:t>Method to be used to comply with the asset maintenance requirement</w:t>
            </w:r>
          </w:p>
          <w:p w14:paraId="1F703790" w14:textId="7BFA5FF8" w:rsidR="0056393C" w:rsidRPr="00EC39E0" w:rsidRDefault="0056393C" w:rsidP="005B4DA5">
            <w:pPr>
              <w:rPr>
                <w:rFonts w:cstheme="minorHAnsi"/>
                <w:sz w:val="21"/>
                <w:szCs w:val="21"/>
              </w:rPr>
            </w:pPr>
            <w:r w:rsidRPr="004D1C8C">
              <w:rPr>
                <w:rFonts w:cstheme="minorHAnsi"/>
                <w:i/>
                <w:sz w:val="21"/>
                <w:szCs w:val="21"/>
              </w:rPr>
              <w:t>(</w:t>
            </w:r>
            <w:r w:rsidRPr="00EA1B0D">
              <w:rPr>
                <w:rFonts w:cstheme="minorHAnsi"/>
                <w:i/>
                <w:sz w:val="21"/>
                <w:szCs w:val="21"/>
                <w:highlight w:val="yellow"/>
              </w:rPr>
              <w:t>*Subject to review by chief actuary)</w:t>
            </w:r>
          </w:p>
        </w:tc>
        <w:tc>
          <w:tcPr>
            <w:tcW w:w="1252" w:type="dxa"/>
            <w:shd w:val="clear" w:color="auto" w:fill="FFFFFF" w:themeFill="background1"/>
          </w:tcPr>
          <w:p w14:paraId="2F103FB8" w14:textId="77777777" w:rsidR="0056393C" w:rsidRPr="00EC39E0" w:rsidRDefault="0056393C" w:rsidP="005B4DA5">
            <w:pPr>
              <w:rPr>
                <w:rFonts w:cstheme="minorHAnsi"/>
                <w:sz w:val="21"/>
                <w:szCs w:val="21"/>
              </w:rPr>
            </w:pPr>
          </w:p>
        </w:tc>
      </w:tr>
      <w:tr w:rsidR="0056393C" w:rsidRPr="00EC39E0" w14:paraId="634126FE" w14:textId="77777777" w:rsidTr="00595692">
        <w:tc>
          <w:tcPr>
            <w:tcW w:w="1092" w:type="dxa"/>
            <w:shd w:val="clear" w:color="auto" w:fill="FFFFFF" w:themeFill="background1"/>
          </w:tcPr>
          <w:p w14:paraId="5E6C29CE" w14:textId="43C07436" w:rsidR="0056393C" w:rsidRPr="00EC39E0" w:rsidRDefault="0056393C"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768CACBC" w14:textId="378E8629" w:rsidR="0056393C" w:rsidRPr="00EC39E0" w:rsidRDefault="00611EC3" w:rsidP="005B4DA5">
            <w:pPr>
              <w:rPr>
                <w:rFonts w:cstheme="minorHAnsi"/>
                <w:sz w:val="21"/>
                <w:szCs w:val="21"/>
              </w:rPr>
            </w:pPr>
            <w:r>
              <w:rPr>
                <w:rFonts w:cstheme="minorHAnsi"/>
                <w:sz w:val="21"/>
                <w:szCs w:val="21"/>
              </w:rPr>
              <w:t>Allocation between separate account, any supplemental account, and general account</w:t>
            </w:r>
          </w:p>
        </w:tc>
        <w:tc>
          <w:tcPr>
            <w:tcW w:w="1685" w:type="dxa"/>
            <w:gridSpan w:val="3"/>
            <w:shd w:val="clear" w:color="auto" w:fill="FFFFFF" w:themeFill="background1"/>
          </w:tcPr>
          <w:p w14:paraId="0DCB8D87" w14:textId="327A5BFF" w:rsidR="0056393C" w:rsidDel="00B04E87" w:rsidRDefault="00F61BD1" w:rsidP="005B4DA5">
            <w:hyperlink r:id="rId25" w:history="1">
              <w:r w:rsidR="0056393C" w:rsidRPr="00263CAC">
                <w:rPr>
                  <w:rStyle w:val="Hyperlink"/>
                </w:rPr>
                <w:t>NAIC Model 200 § B(6)</w:t>
              </w:r>
              <w:r w:rsidR="00611EC3" w:rsidRPr="00263CAC">
                <w:rPr>
                  <w:rStyle w:val="Hyperlink"/>
                </w:rPr>
                <w:t>(d)</w:t>
              </w:r>
            </w:hyperlink>
          </w:p>
        </w:tc>
        <w:tc>
          <w:tcPr>
            <w:tcW w:w="3006" w:type="dxa"/>
            <w:gridSpan w:val="2"/>
            <w:shd w:val="clear" w:color="auto" w:fill="FFFFFF" w:themeFill="background1"/>
          </w:tcPr>
          <w:p w14:paraId="56DA1AEF" w14:textId="7AA7E0E9" w:rsidR="0056393C" w:rsidRDefault="00611EC3" w:rsidP="005B4DA5">
            <w:pPr>
              <w:rPr>
                <w:rFonts w:cstheme="minorHAnsi"/>
                <w:sz w:val="21"/>
                <w:szCs w:val="21"/>
              </w:rPr>
            </w:pPr>
            <w:r>
              <w:rPr>
                <w:rFonts w:cstheme="minorHAnsi"/>
                <w:sz w:val="21"/>
                <w:szCs w:val="21"/>
              </w:rPr>
              <w:t>The manner in which account assets will be allocated between the separate account, any supplemental account, and the general account.</w:t>
            </w:r>
          </w:p>
          <w:p w14:paraId="550136CE" w14:textId="77DF0D03" w:rsidR="0056393C" w:rsidRPr="00EC39E0" w:rsidRDefault="0056393C" w:rsidP="005B4DA5">
            <w:pPr>
              <w:rPr>
                <w:rFonts w:cstheme="minorHAnsi"/>
                <w:sz w:val="21"/>
                <w:szCs w:val="21"/>
              </w:rPr>
            </w:pPr>
            <w:r w:rsidRPr="004D1C8C">
              <w:rPr>
                <w:rFonts w:cstheme="minorHAnsi"/>
                <w:i/>
                <w:sz w:val="21"/>
                <w:szCs w:val="21"/>
              </w:rPr>
              <w:t>(</w:t>
            </w:r>
            <w:r w:rsidRPr="00EA1B0D">
              <w:rPr>
                <w:rFonts w:cstheme="minorHAnsi"/>
                <w:i/>
                <w:sz w:val="21"/>
                <w:szCs w:val="21"/>
                <w:highlight w:val="yellow"/>
              </w:rPr>
              <w:t>*Subject to review by chief actuary)</w:t>
            </w:r>
          </w:p>
        </w:tc>
        <w:tc>
          <w:tcPr>
            <w:tcW w:w="1252" w:type="dxa"/>
            <w:shd w:val="clear" w:color="auto" w:fill="FFFFFF" w:themeFill="background1"/>
          </w:tcPr>
          <w:p w14:paraId="2AA0509B" w14:textId="77777777" w:rsidR="0056393C" w:rsidRPr="00EC39E0" w:rsidRDefault="0056393C" w:rsidP="005B4DA5">
            <w:pPr>
              <w:rPr>
                <w:rFonts w:cstheme="minorHAnsi"/>
                <w:sz w:val="21"/>
                <w:szCs w:val="21"/>
              </w:rPr>
            </w:pPr>
          </w:p>
        </w:tc>
      </w:tr>
      <w:tr w:rsidR="0056393C" w:rsidRPr="00EC39E0" w14:paraId="61C6A043" w14:textId="77777777" w:rsidTr="00595692">
        <w:tc>
          <w:tcPr>
            <w:tcW w:w="1092" w:type="dxa"/>
            <w:shd w:val="clear" w:color="auto" w:fill="FFFFFF" w:themeFill="background1"/>
          </w:tcPr>
          <w:p w14:paraId="1B5B0D14" w14:textId="4202544E" w:rsidR="0056393C" w:rsidRPr="00EC39E0" w:rsidRDefault="0056393C"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0F117111" w14:textId="64213BD4" w:rsidR="0056393C" w:rsidRPr="00EC39E0" w:rsidRDefault="00611EC3" w:rsidP="005B4DA5">
            <w:pPr>
              <w:rPr>
                <w:rFonts w:cstheme="minorHAnsi"/>
                <w:sz w:val="21"/>
                <w:szCs w:val="21"/>
              </w:rPr>
            </w:pPr>
            <w:r>
              <w:rPr>
                <w:rFonts w:cstheme="minorHAnsi"/>
                <w:sz w:val="21"/>
                <w:szCs w:val="21"/>
              </w:rPr>
              <w:t>Deductions to be used in determining market value</w:t>
            </w:r>
          </w:p>
        </w:tc>
        <w:tc>
          <w:tcPr>
            <w:tcW w:w="1685" w:type="dxa"/>
            <w:gridSpan w:val="3"/>
            <w:shd w:val="clear" w:color="auto" w:fill="FFFFFF" w:themeFill="background1"/>
          </w:tcPr>
          <w:p w14:paraId="2B2B5785" w14:textId="0C318AFA" w:rsidR="0056393C" w:rsidDel="00B04E87" w:rsidRDefault="00F61BD1" w:rsidP="005B4DA5">
            <w:hyperlink r:id="rId26" w:history="1">
              <w:r w:rsidR="0056393C" w:rsidRPr="00263CAC">
                <w:rPr>
                  <w:rStyle w:val="Hyperlink"/>
                </w:rPr>
                <w:t>NAIC Model 200 § B(6)</w:t>
              </w:r>
              <w:r w:rsidR="00611EC3" w:rsidRPr="00263CAC">
                <w:rPr>
                  <w:rStyle w:val="Hyperlink"/>
                </w:rPr>
                <w:t>(e)</w:t>
              </w:r>
            </w:hyperlink>
          </w:p>
        </w:tc>
        <w:tc>
          <w:tcPr>
            <w:tcW w:w="3006" w:type="dxa"/>
            <w:gridSpan w:val="2"/>
            <w:shd w:val="clear" w:color="auto" w:fill="FFFFFF" w:themeFill="background1"/>
          </w:tcPr>
          <w:p w14:paraId="3058149C" w14:textId="49B91B8B" w:rsidR="0056393C" w:rsidRDefault="00611EC3" w:rsidP="005B4DA5">
            <w:pPr>
              <w:rPr>
                <w:rFonts w:cstheme="minorHAnsi"/>
                <w:sz w:val="21"/>
                <w:szCs w:val="21"/>
              </w:rPr>
            </w:pPr>
            <w:r>
              <w:rPr>
                <w:rFonts w:cstheme="minorHAnsi"/>
                <w:sz w:val="21"/>
                <w:szCs w:val="21"/>
              </w:rPr>
              <w:t xml:space="preserve">If applicable, the deductions to be used in determining the market value of an asset when determining the asset maintenance requirement when the investment policy of the separate account and any supplemental accounts is not likely to match the performance </w:t>
            </w:r>
            <w:r>
              <w:rPr>
                <w:rFonts w:cstheme="minorHAnsi"/>
                <w:sz w:val="21"/>
                <w:szCs w:val="21"/>
              </w:rPr>
              <w:lastRenderedPageBreak/>
              <w:t>of an interest rate series or index on which the contract benefits are based.</w:t>
            </w:r>
          </w:p>
          <w:p w14:paraId="38C94197" w14:textId="1B54DE4A" w:rsidR="0056393C" w:rsidRPr="00EC39E0" w:rsidRDefault="0056393C" w:rsidP="005B4DA5">
            <w:pPr>
              <w:rPr>
                <w:rFonts w:cstheme="minorHAnsi"/>
                <w:sz w:val="21"/>
                <w:szCs w:val="21"/>
              </w:rPr>
            </w:pPr>
            <w:r w:rsidRPr="004D1C8C">
              <w:rPr>
                <w:rFonts w:cstheme="minorHAnsi"/>
                <w:i/>
                <w:sz w:val="21"/>
                <w:szCs w:val="21"/>
              </w:rPr>
              <w:t>(</w:t>
            </w:r>
            <w:r w:rsidRPr="00EA1B0D">
              <w:rPr>
                <w:rFonts w:cstheme="minorHAnsi"/>
                <w:i/>
                <w:sz w:val="21"/>
                <w:szCs w:val="21"/>
                <w:highlight w:val="yellow"/>
              </w:rPr>
              <w:t>*Subject to review by chief actuary)</w:t>
            </w:r>
          </w:p>
        </w:tc>
        <w:tc>
          <w:tcPr>
            <w:tcW w:w="1252" w:type="dxa"/>
            <w:shd w:val="clear" w:color="auto" w:fill="FFFFFF" w:themeFill="background1"/>
          </w:tcPr>
          <w:p w14:paraId="1BE60125" w14:textId="77777777" w:rsidR="0056393C" w:rsidRPr="00EC39E0" w:rsidRDefault="0056393C" w:rsidP="005B4DA5">
            <w:pPr>
              <w:rPr>
                <w:rFonts w:cstheme="minorHAnsi"/>
                <w:sz w:val="21"/>
                <w:szCs w:val="21"/>
              </w:rPr>
            </w:pPr>
          </w:p>
        </w:tc>
      </w:tr>
      <w:tr w:rsidR="0056393C" w:rsidRPr="00EC39E0" w14:paraId="35AA04B5" w14:textId="77777777" w:rsidTr="00595692">
        <w:tc>
          <w:tcPr>
            <w:tcW w:w="1092" w:type="dxa"/>
            <w:shd w:val="clear" w:color="auto" w:fill="FFFFFF" w:themeFill="background1"/>
          </w:tcPr>
          <w:p w14:paraId="50197E73" w14:textId="1F299A39" w:rsidR="0056393C" w:rsidRPr="00EC39E0" w:rsidRDefault="0056393C"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7D14DEE9" w14:textId="42B85F32" w:rsidR="0056393C" w:rsidRPr="00EC39E0" w:rsidRDefault="00611EC3" w:rsidP="005B4DA5">
            <w:pPr>
              <w:rPr>
                <w:rFonts w:cstheme="minorHAnsi"/>
                <w:sz w:val="21"/>
                <w:szCs w:val="21"/>
              </w:rPr>
            </w:pPr>
            <w:r>
              <w:rPr>
                <w:rFonts w:cstheme="minorHAnsi"/>
                <w:sz w:val="21"/>
                <w:szCs w:val="21"/>
              </w:rPr>
              <w:t>Deductions to be used for replicated (synthetic asset) transactions</w:t>
            </w:r>
          </w:p>
        </w:tc>
        <w:tc>
          <w:tcPr>
            <w:tcW w:w="1685" w:type="dxa"/>
            <w:gridSpan w:val="3"/>
            <w:shd w:val="clear" w:color="auto" w:fill="FFFFFF" w:themeFill="background1"/>
          </w:tcPr>
          <w:p w14:paraId="24B88862" w14:textId="5966BA9E" w:rsidR="0056393C" w:rsidDel="00B04E87" w:rsidRDefault="00F61BD1" w:rsidP="005B4DA5">
            <w:hyperlink r:id="rId27" w:history="1">
              <w:r w:rsidR="0056393C" w:rsidRPr="008567F6">
                <w:rPr>
                  <w:rStyle w:val="Hyperlink"/>
                </w:rPr>
                <w:t>NAIC Model 200 § B(6)</w:t>
              </w:r>
              <w:r w:rsidR="00611EC3" w:rsidRPr="008567F6">
                <w:rPr>
                  <w:rStyle w:val="Hyperlink"/>
                </w:rPr>
                <w:t>(f)</w:t>
              </w:r>
            </w:hyperlink>
          </w:p>
        </w:tc>
        <w:tc>
          <w:tcPr>
            <w:tcW w:w="3006" w:type="dxa"/>
            <w:gridSpan w:val="2"/>
            <w:shd w:val="clear" w:color="auto" w:fill="FFFFFF" w:themeFill="background1"/>
          </w:tcPr>
          <w:p w14:paraId="478AED1E" w14:textId="4C428935" w:rsidR="0056393C" w:rsidRDefault="00611EC3" w:rsidP="005B4DA5">
            <w:pPr>
              <w:rPr>
                <w:rFonts w:cstheme="minorHAnsi"/>
                <w:sz w:val="21"/>
                <w:szCs w:val="21"/>
              </w:rPr>
            </w:pPr>
            <w:r>
              <w:rPr>
                <w:rFonts w:cstheme="minorHAnsi"/>
                <w:sz w:val="21"/>
                <w:szCs w:val="21"/>
              </w:rPr>
              <w:t>For index contracts, the deductions to be used for replicated (synthetic asset) transactions in determining the market value of the separate account.</w:t>
            </w:r>
          </w:p>
          <w:p w14:paraId="5654D544" w14:textId="219A64A3" w:rsidR="0056393C" w:rsidRPr="00EC39E0" w:rsidRDefault="0056393C" w:rsidP="005B4DA5">
            <w:pPr>
              <w:rPr>
                <w:rFonts w:cstheme="minorHAnsi"/>
                <w:sz w:val="21"/>
                <w:szCs w:val="21"/>
              </w:rPr>
            </w:pPr>
            <w:r w:rsidRPr="00EA1B0D">
              <w:rPr>
                <w:rFonts w:cstheme="minorHAnsi"/>
                <w:i/>
                <w:sz w:val="21"/>
                <w:szCs w:val="21"/>
                <w:highlight w:val="yellow"/>
              </w:rPr>
              <w:t>(*Subject to review by chief actuary</w:t>
            </w:r>
            <w:r w:rsidRPr="004D1C8C">
              <w:rPr>
                <w:rFonts w:cstheme="minorHAnsi"/>
                <w:i/>
                <w:sz w:val="21"/>
                <w:szCs w:val="21"/>
              </w:rPr>
              <w:t>)</w:t>
            </w:r>
          </w:p>
        </w:tc>
        <w:tc>
          <w:tcPr>
            <w:tcW w:w="1252" w:type="dxa"/>
            <w:shd w:val="clear" w:color="auto" w:fill="FFFFFF" w:themeFill="background1"/>
          </w:tcPr>
          <w:p w14:paraId="0F867E5A" w14:textId="77777777" w:rsidR="0056393C" w:rsidRPr="00EC39E0" w:rsidRDefault="0056393C" w:rsidP="005B4DA5">
            <w:pPr>
              <w:rPr>
                <w:rFonts w:cstheme="minorHAnsi"/>
                <w:sz w:val="21"/>
                <w:szCs w:val="21"/>
              </w:rPr>
            </w:pPr>
          </w:p>
        </w:tc>
      </w:tr>
      <w:tr w:rsidR="00AD46C9" w:rsidRPr="00EC39E0" w14:paraId="780E9898" w14:textId="77777777" w:rsidTr="00595692">
        <w:tc>
          <w:tcPr>
            <w:tcW w:w="1092" w:type="dxa"/>
            <w:shd w:val="clear" w:color="auto" w:fill="FFFFFF" w:themeFill="background1"/>
          </w:tcPr>
          <w:p w14:paraId="6427B0EB" w14:textId="1B264921" w:rsidR="00AD46C9" w:rsidRPr="00EC39E0" w:rsidRDefault="00AD46C9"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61BB0B53" w14:textId="01EC64D3" w:rsidR="00AD46C9" w:rsidRPr="00EC39E0" w:rsidRDefault="003F0038" w:rsidP="005B4DA5">
            <w:pPr>
              <w:rPr>
                <w:rFonts w:cstheme="minorHAnsi"/>
                <w:sz w:val="21"/>
                <w:szCs w:val="21"/>
              </w:rPr>
            </w:pPr>
            <w:r w:rsidRPr="00EC39E0">
              <w:rPr>
                <w:rFonts w:cstheme="minorHAnsi"/>
                <w:sz w:val="21"/>
                <w:szCs w:val="21"/>
              </w:rPr>
              <w:t>Criteria used for a pooled fund</w:t>
            </w:r>
          </w:p>
        </w:tc>
        <w:tc>
          <w:tcPr>
            <w:tcW w:w="1685" w:type="dxa"/>
            <w:gridSpan w:val="3"/>
            <w:shd w:val="clear" w:color="auto" w:fill="FFFFFF" w:themeFill="background1"/>
          </w:tcPr>
          <w:p w14:paraId="5FAE54D4" w14:textId="4DD5C7DA" w:rsidR="00AD46C9" w:rsidRPr="00EC39E0" w:rsidRDefault="00B04E87" w:rsidP="005B4DA5">
            <w:pPr>
              <w:rPr>
                <w:rStyle w:val="Hyperlink"/>
                <w:rFonts w:cstheme="minorHAnsi"/>
                <w:sz w:val="21"/>
                <w:szCs w:val="21"/>
              </w:rPr>
            </w:pPr>
            <w:r>
              <w:rPr>
                <w:rFonts w:cstheme="minorHAnsi"/>
                <w:sz w:val="21"/>
                <w:szCs w:val="21"/>
              </w:rPr>
              <w:t xml:space="preserve"> </w:t>
            </w:r>
            <w:hyperlink r:id="rId28" w:history="1">
              <w:r w:rsidRPr="008567F6">
                <w:rPr>
                  <w:rStyle w:val="Hyperlink"/>
                  <w:rFonts w:cstheme="minorHAnsi"/>
                  <w:sz w:val="21"/>
                  <w:szCs w:val="21"/>
                </w:rPr>
                <w:t>NAIC Model 200 § 5B(6)(g)(</w:t>
              </w:r>
              <w:proofErr w:type="spellStart"/>
              <w:r w:rsidRPr="008567F6">
                <w:rPr>
                  <w:rStyle w:val="Hyperlink"/>
                  <w:rFonts w:cstheme="minorHAnsi"/>
                  <w:sz w:val="21"/>
                  <w:szCs w:val="21"/>
                </w:rPr>
                <w:t>i</w:t>
              </w:r>
              <w:proofErr w:type="spellEnd"/>
              <w:r w:rsidRPr="008567F6">
                <w:rPr>
                  <w:rStyle w:val="Hyperlink"/>
                  <w:rFonts w:cstheme="minorHAnsi"/>
                  <w:sz w:val="21"/>
                  <w:szCs w:val="21"/>
                </w:rPr>
                <w:t>)</w:t>
              </w:r>
            </w:hyperlink>
          </w:p>
        </w:tc>
        <w:tc>
          <w:tcPr>
            <w:tcW w:w="3006" w:type="dxa"/>
            <w:gridSpan w:val="2"/>
            <w:shd w:val="clear" w:color="auto" w:fill="FFFFFF" w:themeFill="background1"/>
          </w:tcPr>
          <w:p w14:paraId="3DF93583" w14:textId="1480251D" w:rsidR="00AD46C9" w:rsidRPr="00EC39E0" w:rsidRDefault="003F0038" w:rsidP="005B4DA5">
            <w:pPr>
              <w:rPr>
                <w:rFonts w:cstheme="minorHAnsi"/>
                <w:sz w:val="21"/>
                <w:szCs w:val="21"/>
              </w:rPr>
            </w:pPr>
            <w:r w:rsidRPr="00EC39E0">
              <w:rPr>
                <w:rFonts w:cstheme="minorHAnsi"/>
                <w:sz w:val="21"/>
                <w:szCs w:val="21"/>
              </w:rPr>
              <w:t>A description of the criteria used by the insurer in approving for contract issuance a pooled fund representing multiple employer-sponsored plans and in approving the investment manager for the segregated portfolio of assets associated with such pooled fund contract</w:t>
            </w:r>
          </w:p>
        </w:tc>
        <w:tc>
          <w:tcPr>
            <w:tcW w:w="1252" w:type="dxa"/>
            <w:shd w:val="clear" w:color="auto" w:fill="FFFFFF" w:themeFill="background1"/>
          </w:tcPr>
          <w:p w14:paraId="1C86BD08" w14:textId="77777777" w:rsidR="00AD46C9" w:rsidRPr="00EC39E0" w:rsidRDefault="00AD46C9" w:rsidP="005B4DA5">
            <w:pPr>
              <w:rPr>
                <w:rFonts w:cstheme="minorHAnsi"/>
                <w:sz w:val="21"/>
                <w:szCs w:val="21"/>
              </w:rPr>
            </w:pPr>
          </w:p>
        </w:tc>
      </w:tr>
      <w:tr w:rsidR="00B320A7" w:rsidRPr="00EC39E0" w14:paraId="57D05C96" w14:textId="77777777" w:rsidTr="00595692">
        <w:tc>
          <w:tcPr>
            <w:tcW w:w="1092" w:type="dxa"/>
            <w:shd w:val="clear" w:color="auto" w:fill="FFFFFF" w:themeFill="background1"/>
          </w:tcPr>
          <w:p w14:paraId="65393AFA" w14:textId="54A3491B" w:rsidR="00B320A7" w:rsidRPr="00EC39E0" w:rsidRDefault="00B320A7"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5F986521" w14:textId="23F35901" w:rsidR="00B320A7" w:rsidRPr="00EC39E0" w:rsidRDefault="00B320A7" w:rsidP="005B4DA5">
            <w:pPr>
              <w:rPr>
                <w:rFonts w:cstheme="minorHAnsi"/>
                <w:sz w:val="21"/>
                <w:szCs w:val="21"/>
              </w:rPr>
            </w:pPr>
            <w:r w:rsidRPr="00EC39E0">
              <w:rPr>
                <w:rFonts w:cstheme="minorHAnsi"/>
                <w:sz w:val="21"/>
                <w:szCs w:val="21"/>
              </w:rPr>
              <w:t xml:space="preserve">Risk-Mitigation technique </w:t>
            </w:r>
          </w:p>
        </w:tc>
        <w:tc>
          <w:tcPr>
            <w:tcW w:w="1685" w:type="dxa"/>
            <w:gridSpan w:val="3"/>
            <w:shd w:val="clear" w:color="auto" w:fill="FFFFFF" w:themeFill="background1"/>
          </w:tcPr>
          <w:p w14:paraId="746C9ACC" w14:textId="51150999" w:rsidR="00B320A7" w:rsidRPr="00EC39E0" w:rsidRDefault="00B04E87" w:rsidP="005B4DA5">
            <w:pPr>
              <w:rPr>
                <w:rStyle w:val="Hyperlink"/>
                <w:rFonts w:cstheme="minorHAnsi"/>
                <w:sz w:val="21"/>
                <w:szCs w:val="21"/>
              </w:rPr>
            </w:pPr>
            <w:r>
              <w:rPr>
                <w:rFonts w:cstheme="minorHAnsi"/>
                <w:sz w:val="21"/>
                <w:szCs w:val="21"/>
              </w:rPr>
              <w:t xml:space="preserve"> </w:t>
            </w:r>
            <w:hyperlink r:id="rId29" w:history="1">
              <w:r w:rsidRPr="008567F6">
                <w:rPr>
                  <w:rStyle w:val="Hyperlink"/>
                  <w:rFonts w:cstheme="minorHAnsi"/>
                  <w:sz w:val="21"/>
                  <w:szCs w:val="21"/>
                </w:rPr>
                <w:t>NAIC Model 200 § 5B(6)(g)(</w:t>
              </w:r>
              <w:proofErr w:type="spellStart"/>
              <w:r w:rsidRPr="008567F6">
                <w:rPr>
                  <w:rStyle w:val="Hyperlink"/>
                  <w:rFonts w:cstheme="minorHAnsi"/>
                  <w:sz w:val="21"/>
                  <w:szCs w:val="21"/>
                </w:rPr>
                <w:t>i</w:t>
              </w:r>
              <w:proofErr w:type="spellEnd"/>
              <w:r w:rsidRPr="008567F6">
                <w:rPr>
                  <w:rStyle w:val="Hyperlink"/>
                  <w:rFonts w:cstheme="minorHAnsi"/>
                  <w:sz w:val="21"/>
                  <w:szCs w:val="21"/>
                </w:rPr>
                <w:t>)</w:t>
              </w:r>
            </w:hyperlink>
          </w:p>
        </w:tc>
        <w:tc>
          <w:tcPr>
            <w:tcW w:w="3006" w:type="dxa"/>
            <w:gridSpan w:val="2"/>
            <w:shd w:val="clear" w:color="auto" w:fill="FFFFFF" w:themeFill="background1"/>
          </w:tcPr>
          <w:p w14:paraId="057B6EF6" w14:textId="0B708F9A" w:rsidR="00B320A7" w:rsidRPr="00EC39E0" w:rsidRDefault="00B320A7" w:rsidP="005B4DA5">
            <w:pPr>
              <w:rPr>
                <w:rFonts w:cstheme="minorHAnsi"/>
                <w:sz w:val="21"/>
                <w:szCs w:val="21"/>
              </w:rPr>
            </w:pPr>
            <w:r w:rsidRPr="00EC39E0">
              <w:rPr>
                <w:rFonts w:cstheme="minorHAnsi"/>
                <w:sz w:val="21"/>
                <w:szCs w:val="21"/>
              </w:rPr>
              <w:t>A description of risk-mitigation techniques used by the insurer in connection with contracts issued to pooled funds representing multiple employer-sponsored plans;</w:t>
            </w:r>
          </w:p>
        </w:tc>
        <w:tc>
          <w:tcPr>
            <w:tcW w:w="1252" w:type="dxa"/>
            <w:shd w:val="clear" w:color="auto" w:fill="FFFFFF" w:themeFill="background1"/>
          </w:tcPr>
          <w:p w14:paraId="6B5C87BD" w14:textId="77777777" w:rsidR="00B320A7" w:rsidRPr="00EC39E0" w:rsidRDefault="00B320A7" w:rsidP="005B4DA5">
            <w:pPr>
              <w:rPr>
                <w:rFonts w:cstheme="minorHAnsi"/>
                <w:sz w:val="21"/>
                <w:szCs w:val="21"/>
              </w:rPr>
            </w:pPr>
          </w:p>
        </w:tc>
      </w:tr>
      <w:tr w:rsidR="005B4DA5" w:rsidRPr="00EC39E0" w14:paraId="4936F90F" w14:textId="77777777" w:rsidTr="00595692">
        <w:tc>
          <w:tcPr>
            <w:tcW w:w="1092" w:type="dxa"/>
            <w:shd w:val="clear" w:color="auto" w:fill="FFFFFF" w:themeFill="background1"/>
          </w:tcPr>
          <w:p w14:paraId="5E9E8EF1" w14:textId="77D21BAC"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67BE03B6" w14:textId="422746C0" w:rsidR="005B4DA5" w:rsidRPr="00EC39E0" w:rsidRDefault="00EE52A0" w:rsidP="005B4DA5">
            <w:pPr>
              <w:rPr>
                <w:rFonts w:cstheme="minorHAnsi"/>
                <w:sz w:val="21"/>
                <w:szCs w:val="21"/>
              </w:rPr>
            </w:pPr>
            <w:r w:rsidRPr="00EC39E0">
              <w:rPr>
                <w:rFonts w:cstheme="minorHAnsi"/>
                <w:sz w:val="21"/>
                <w:szCs w:val="21"/>
              </w:rPr>
              <w:t>Actuarial opinion statement</w:t>
            </w:r>
          </w:p>
        </w:tc>
        <w:tc>
          <w:tcPr>
            <w:tcW w:w="1685" w:type="dxa"/>
            <w:gridSpan w:val="3"/>
            <w:shd w:val="clear" w:color="auto" w:fill="FFFFFF" w:themeFill="background1"/>
          </w:tcPr>
          <w:p w14:paraId="46F27B9C" w14:textId="45BFD89B" w:rsidR="005B4DA5" w:rsidRPr="00EC39E0" w:rsidRDefault="00F61BD1" w:rsidP="005B4DA5">
            <w:pPr>
              <w:rPr>
                <w:rFonts w:cstheme="minorHAnsi"/>
                <w:sz w:val="21"/>
                <w:szCs w:val="21"/>
              </w:rPr>
            </w:pPr>
            <w:hyperlink r:id="rId30" w:history="1">
              <w:r w:rsidR="00F037C3" w:rsidRPr="008567F6">
                <w:rPr>
                  <w:rStyle w:val="Hyperlink"/>
                  <w:rFonts w:cstheme="minorHAnsi"/>
                  <w:sz w:val="21"/>
                  <w:szCs w:val="21"/>
                </w:rPr>
                <w:t>NAIC Model 200 § 5</w:t>
              </w:r>
              <w:r w:rsidR="005D5E52">
                <w:rPr>
                  <w:rStyle w:val="Hyperlink"/>
                  <w:rFonts w:cstheme="minorHAnsi"/>
                  <w:sz w:val="21"/>
                  <w:szCs w:val="21"/>
                </w:rPr>
                <w:t>B</w:t>
              </w:r>
              <w:r w:rsidR="00F037C3" w:rsidRPr="008567F6">
                <w:rPr>
                  <w:rStyle w:val="Hyperlink"/>
                  <w:rFonts w:cstheme="minorHAnsi"/>
                  <w:sz w:val="21"/>
                  <w:szCs w:val="21"/>
                </w:rPr>
                <w:t>(7)</w:t>
              </w:r>
            </w:hyperlink>
          </w:p>
        </w:tc>
        <w:tc>
          <w:tcPr>
            <w:tcW w:w="3006" w:type="dxa"/>
            <w:gridSpan w:val="2"/>
            <w:shd w:val="clear" w:color="auto" w:fill="FFFFFF" w:themeFill="background1"/>
          </w:tcPr>
          <w:p w14:paraId="574D8A4B" w14:textId="0A35A57D" w:rsidR="004D1C8C" w:rsidRPr="004D1C8C" w:rsidRDefault="00F037C3" w:rsidP="004D1C8C">
            <w:pPr>
              <w:autoSpaceDE w:val="0"/>
              <w:autoSpaceDN w:val="0"/>
              <w:adjustRightInd w:val="0"/>
              <w:rPr>
                <w:rFonts w:cstheme="minorHAnsi"/>
                <w:bCs/>
                <w:sz w:val="21"/>
                <w:szCs w:val="21"/>
              </w:rPr>
            </w:pPr>
            <w:r>
              <w:rPr>
                <w:rFonts w:cstheme="minorHAnsi"/>
                <w:sz w:val="21"/>
                <w:szCs w:val="21"/>
              </w:rPr>
              <w:t>An unqualified opinion by a qualified actuary with expertise in such matters as to the adequacy of the consideration charged by the insurer for the risks it has assumed with respect to the contracts in the class to which the plan of operations pertains.</w:t>
            </w:r>
            <w:r w:rsidR="004D1C8C" w:rsidRPr="004D1C8C">
              <w:rPr>
                <w:rFonts w:cstheme="minorHAnsi"/>
                <w:i/>
                <w:sz w:val="21"/>
                <w:szCs w:val="21"/>
              </w:rPr>
              <w:t>(*</w:t>
            </w:r>
            <w:r w:rsidR="004D1C8C" w:rsidRPr="00EA1B0D">
              <w:rPr>
                <w:rFonts w:cstheme="minorHAnsi"/>
                <w:i/>
                <w:sz w:val="21"/>
                <w:szCs w:val="21"/>
                <w:highlight w:val="yellow"/>
              </w:rPr>
              <w:t>Subject to review by chief actuary</w:t>
            </w:r>
            <w:r w:rsidR="004D1C8C" w:rsidRPr="004D1C8C">
              <w:rPr>
                <w:rFonts w:cstheme="minorHAnsi"/>
                <w:i/>
                <w:sz w:val="21"/>
                <w:szCs w:val="21"/>
              </w:rPr>
              <w:t>)</w:t>
            </w:r>
          </w:p>
        </w:tc>
        <w:tc>
          <w:tcPr>
            <w:tcW w:w="1252" w:type="dxa"/>
            <w:shd w:val="clear" w:color="auto" w:fill="FFFFFF" w:themeFill="background1"/>
          </w:tcPr>
          <w:p w14:paraId="54BF47EC" w14:textId="77777777" w:rsidR="005B4DA5" w:rsidRPr="00EC39E0" w:rsidRDefault="005B4DA5" w:rsidP="005B4DA5">
            <w:pPr>
              <w:rPr>
                <w:rFonts w:cstheme="minorHAnsi"/>
                <w:sz w:val="21"/>
                <w:szCs w:val="21"/>
              </w:rPr>
            </w:pPr>
          </w:p>
        </w:tc>
      </w:tr>
      <w:tr w:rsidR="00281BF7" w:rsidRPr="00EC39E0" w14:paraId="21933C0A" w14:textId="77777777" w:rsidTr="00595692">
        <w:tc>
          <w:tcPr>
            <w:tcW w:w="1092" w:type="dxa"/>
            <w:shd w:val="clear" w:color="auto" w:fill="FFFFFF" w:themeFill="background1"/>
          </w:tcPr>
          <w:p w14:paraId="64BAFB60" w14:textId="23AA24E4" w:rsidR="00281BF7" w:rsidRPr="00EC39E0" w:rsidRDefault="00281BF7"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744A9080" w14:textId="2A091723" w:rsidR="00281BF7" w:rsidRPr="00EC39E0" w:rsidRDefault="00281BF7" w:rsidP="005B4DA5">
            <w:pPr>
              <w:rPr>
                <w:rFonts w:cstheme="minorHAnsi"/>
                <w:sz w:val="21"/>
                <w:szCs w:val="21"/>
              </w:rPr>
            </w:pPr>
            <w:r>
              <w:rPr>
                <w:rFonts w:cstheme="minorHAnsi"/>
                <w:sz w:val="21"/>
                <w:szCs w:val="21"/>
              </w:rPr>
              <w:t>Hedging</w:t>
            </w:r>
          </w:p>
        </w:tc>
        <w:tc>
          <w:tcPr>
            <w:tcW w:w="1685" w:type="dxa"/>
            <w:gridSpan w:val="3"/>
            <w:shd w:val="clear" w:color="auto" w:fill="FFFFFF" w:themeFill="background1"/>
          </w:tcPr>
          <w:p w14:paraId="6B967DA7" w14:textId="6656BAE7" w:rsidR="00281BF7" w:rsidDel="00B04E87" w:rsidRDefault="00F61BD1" w:rsidP="005B4DA5">
            <w:hyperlink r:id="rId31" w:history="1">
              <w:r w:rsidR="00281BF7" w:rsidRPr="00263CAC">
                <w:rPr>
                  <w:rStyle w:val="Hyperlink"/>
                </w:rPr>
                <w:t>NAIC Model 200 § 5</w:t>
              </w:r>
              <w:r w:rsidR="005D5E52">
                <w:rPr>
                  <w:rStyle w:val="Hyperlink"/>
                </w:rPr>
                <w:t>B</w:t>
              </w:r>
              <w:r w:rsidR="00281BF7" w:rsidRPr="00263CAC">
                <w:rPr>
                  <w:rStyle w:val="Hyperlink"/>
                </w:rPr>
                <w:t>(8)</w:t>
              </w:r>
            </w:hyperlink>
          </w:p>
        </w:tc>
        <w:tc>
          <w:tcPr>
            <w:tcW w:w="3006" w:type="dxa"/>
            <w:gridSpan w:val="2"/>
            <w:shd w:val="clear" w:color="auto" w:fill="FFFFFF" w:themeFill="background1"/>
          </w:tcPr>
          <w:p w14:paraId="642389D7" w14:textId="77777777" w:rsidR="00281BF7" w:rsidRDefault="00281BF7" w:rsidP="005B4DA5">
            <w:pPr>
              <w:rPr>
                <w:rFonts w:cstheme="minorHAnsi"/>
                <w:sz w:val="21"/>
                <w:szCs w:val="21"/>
              </w:rPr>
            </w:pPr>
            <w:r>
              <w:rPr>
                <w:rFonts w:cstheme="minorHAnsi"/>
                <w:sz w:val="21"/>
                <w:szCs w:val="21"/>
              </w:rPr>
              <w:t>If hedging transactions are to be utilized in managing separate account or any supplemental account assets, a description of the instruments and techniques and an explanation of how they are intended to reduce risk of loss.</w:t>
            </w:r>
          </w:p>
          <w:p w14:paraId="075F52F4" w14:textId="33E6CD63" w:rsidR="00281BF7" w:rsidRDefault="00281BF7" w:rsidP="005B4DA5">
            <w:pPr>
              <w:rPr>
                <w:rFonts w:cstheme="minorHAnsi"/>
                <w:sz w:val="21"/>
                <w:szCs w:val="21"/>
              </w:rPr>
            </w:pPr>
            <w:r w:rsidRPr="00EA1B0D">
              <w:rPr>
                <w:rFonts w:cstheme="minorHAnsi"/>
                <w:i/>
                <w:sz w:val="21"/>
                <w:szCs w:val="21"/>
                <w:highlight w:val="yellow"/>
              </w:rPr>
              <w:t>(*Subject to review by chief actuary)</w:t>
            </w:r>
          </w:p>
        </w:tc>
        <w:tc>
          <w:tcPr>
            <w:tcW w:w="1252" w:type="dxa"/>
            <w:shd w:val="clear" w:color="auto" w:fill="FFFFFF" w:themeFill="background1"/>
          </w:tcPr>
          <w:p w14:paraId="6EFE01AD" w14:textId="77777777" w:rsidR="00281BF7" w:rsidRPr="00EC39E0" w:rsidRDefault="00281BF7" w:rsidP="005B4DA5">
            <w:pPr>
              <w:rPr>
                <w:rFonts w:cstheme="minorHAnsi"/>
                <w:sz w:val="21"/>
                <w:szCs w:val="21"/>
              </w:rPr>
            </w:pPr>
          </w:p>
        </w:tc>
      </w:tr>
      <w:tr w:rsidR="00F037C3" w:rsidRPr="00EC39E0" w14:paraId="37463C23" w14:textId="77777777" w:rsidTr="00595692">
        <w:tc>
          <w:tcPr>
            <w:tcW w:w="1092" w:type="dxa"/>
            <w:shd w:val="clear" w:color="auto" w:fill="FFFFFF" w:themeFill="background1"/>
          </w:tcPr>
          <w:p w14:paraId="22A85A50" w14:textId="514CBC8B" w:rsidR="00F037C3" w:rsidRPr="00EC39E0" w:rsidRDefault="00F037C3" w:rsidP="005B4DA5">
            <w:pPr>
              <w:rPr>
                <w:rFonts w:cstheme="minorHAnsi"/>
                <w:sz w:val="21"/>
                <w:szCs w:val="21"/>
              </w:rPr>
            </w:pPr>
            <w:r w:rsidRPr="00EC39E0">
              <w:rPr>
                <w:rFonts w:cstheme="minorHAnsi"/>
                <w:sz w:val="21"/>
                <w:szCs w:val="21"/>
              </w:rPr>
              <w:lastRenderedPageBreak/>
              <w:sym w:font="Wingdings" w:char="F06F"/>
            </w:r>
          </w:p>
        </w:tc>
        <w:tc>
          <w:tcPr>
            <w:tcW w:w="2315" w:type="dxa"/>
            <w:gridSpan w:val="2"/>
            <w:shd w:val="clear" w:color="auto" w:fill="FFFFFF" w:themeFill="background1"/>
          </w:tcPr>
          <w:p w14:paraId="2F9D74F9" w14:textId="714EDD60" w:rsidR="00F037C3" w:rsidRPr="00EC39E0" w:rsidRDefault="00281BF7" w:rsidP="005B4DA5">
            <w:pPr>
              <w:rPr>
                <w:rFonts w:cstheme="minorHAnsi"/>
                <w:sz w:val="21"/>
                <w:szCs w:val="21"/>
              </w:rPr>
            </w:pPr>
            <w:r>
              <w:rPr>
                <w:rFonts w:cstheme="minorHAnsi"/>
                <w:sz w:val="21"/>
                <w:szCs w:val="21"/>
              </w:rPr>
              <w:t>Method used to determine durations</w:t>
            </w:r>
          </w:p>
        </w:tc>
        <w:tc>
          <w:tcPr>
            <w:tcW w:w="1685" w:type="dxa"/>
            <w:gridSpan w:val="3"/>
            <w:shd w:val="clear" w:color="auto" w:fill="FFFFFF" w:themeFill="background1"/>
          </w:tcPr>
          <w:p w14:paraId="469D39FE" w14:textId="5A40FED9" w:rsidR="00F037C3" w:rsidDel="00B04E87" w:rsidRDefault="00F61BD1" w:rsidP="005B4DA5">
            <w:hyperlink r:id="rId32" w:history="1">
              <w:r w:rsidR="00281BF7" w:rsidRPr="00263CAC">
                <w:rPr>
                  <w:rStyle w:val="Hyperlink"/>
                </w:rPr>
                <w:t>NAIC Model 200 § 5</w:t>
              </w:r>
              <w:r w:rsidR="005D5E52">
                <w:rPr>
                  <w:rStyle w:val="Hyperlink"/>
                </w:rPr>
                <w:t>B</w:t>
              </w:r>
              <w:r w:rsidR="00281BF7" w:rsidRPr="00263CAC">
                <w:rPr>
                  <w:rStyle w:val="Hyperlink"/>
                </w:rPr>
                <w:t>(9)</w:t>
              </w:r>
            </w:hyperlink>
          </w:p>
        </w:tc>
        <w:tc>
          <w:tcPr>
            <w:tcW w:w="3006" w:type="dxa"/>
            <w:gridSpan w:val="2"/>
            <w:shd w:val="clear" w:color="auto" w:fill="FFFFFF" w:themeFill="background1"/>
          </w:tcPr>
          <w:p w14:paraId="72EA6392" w14:textId="77777777" w:rsidR="00F037C3" w:rsidRDefault="00281BF7" w:rsidP="005B4DA5">
            <w:pPr>
              <w:rPr>
                <w:rFonts w:cstheme="minorHAnsi"/>
                <w:sz w:val="21"/>
                <w:szCs w:val="21"/>
              </w:rPr>
            </w:pPr>
            <w:r>
              <w:rPr>
                <w:rFonts w:cstheme="minorHAnsi"/>
                <w:sz w:val="21"/>
                <w:szCs w:val="21"/>
              </w:rPr>
              <w:t xml:space="preserve">If the amount of the asset maintenance requirement depends on the separate account, any supplemental account or a </w:t>
            </w:r>
            <w:proofErr w:type="spellStart"/>
            <w:r>
              <w:rPr>
                <w:rFonts w:cstheme="minorHAnsi"/>
                <w:sz w:val="21"/>
                <w:szCs w:val="21"/>
              </w:rPr>
              <w:t>subportfolio</w:t>
            </w:r>
            <w:proofErr w:type="spellEnd"/>
            <w:r>
              <w:rPr>
                <w:rFonts w:cstheme="minorHAnsi"/>
                <w:sz w:val="21"/>
                <w:szCs w:val="21"/>
              </w:rPr>
              <w:t xml:space="preserve"> of either being duration matched, a description of the method used to determine the durations of separate account and any supplemental account assets and guaranteed contract liabilities.</w:t>
            </w:r>
          </w:p>
          <w:p w14:paraId="18C68E55" w14:textId="190EE9A2" w:rsidR="00281BF7" w:rsidRDefault="00281BF7" w:rsidP="005B4DA5">
            <w:pPr>
              <w:rPr>
                <w:rFonts w:cstheme="minorHAnsi"/>
                <w:sz w:val="21"/>
                <w:szCs w:val="21"/>
              </w:rPr>
            </w:pPr>
            <w:r w:rsidRPr="00EA1B0D">
              <w:rPr>
                <w:rFonts w:cstheme="minorHAnsi"/>
                <w:i/>
                <w:sz w:val="21"/>
                <w:szCs w:val="21"/>
                <w:highlight w:val="yellow"/>
              </w:rPr>
              <w:t>(*Subject to review by chief actuary</w:t>
            </w:r>
            <w:r w:rsidRPr="004D1C8C">
              <w:rPr>
                <w:rFonts w:cstheme="minorHAnsi"/>
                <w:i/>
                <w:sz w:val="21"/>
                <w:szCs w:val="21"/>
              </w:rPr>
              <w:t>)</w:t>
            </w:r>
          </w:p>
        </w:tc>
        <w:tc>
          <w:tcPr>
            <w:tcW w:w="1252" w:type="dxa"/>
            <w:shd w:val="clear" w:color="auto" w:fill="FFFFFF" w:themeFill="background1"/>
          </w:tcPr>
          <w:p w14:paraId="144F0A2E" w14:textId="77777777" w:rsidR="00F037C3" w:rsidRPr="00EC39E0" w:rsidRDefault="00F037C3" w:rsidP="005B4DA5">
            <w:pPr>
              <w:rPr>
                <w:rFonts w:cstheme="minorHAnsi"/>
                <w:sz w:val="21"/>
                <w:szCs w:val="21"/>
              </w:rPr>
            </w:pPr>
          </w:p>
        </w:tc>
      </w:tr>
      <w:tr w:rsidR="00F037C3" w:rsidRPr="00EC39E0" w14:paraId="3B7131CF" w14:textId="77777777" w:rsidTr="00595692">
        <w:tc>
          <w:tcPr>
            <w:tcW w:w="1092" w:type="dxa"/>
            <w:shd w:val="clear" w:color="auto" w:fill="FFFFFF" w:themeFill="background1"/>
          </w:tcPr>
          <w:p w14:paraId="4BF51E29" w14:textId="78C62DD7" w:rsidR="00F037C3" w:rsidRPr="002334A9" w:rsidRDefault="00F037C3" w:rsidP="005B4DA5">
            <w:pPr>
              <w:rPr>
                <w:rFonts w:cstheme="minorHAnsi"/>
                <w:b/>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1592DCF2" w14:textId="20CFC816" w:rsidR="00F037C3" w:rsidRPr="00EC39E0" w:rsidRDefault="00281BF7" w:rsidP="005B4DA5">
            <w:pPr>
              <w:rPr>
                <w:rFonts w:cstheme="minorHAnsi"/>
                <w:sz w:val="21"/>
                <w:szCs w:val="21"/>
              </w:rPr>
            </w:pPr>
            <w:r>
              <w:rPr>
                <w:rFonts w:cstheme="minorHAnsi"/>
                <w:sz w:val="21"/>
                <w:szCs w:val="21"/>
              </w:rPr>
              <w:t>Reserve liability in a general account</w:t>
            </w:r>
          </w:p>
        </w:tc>
        <w:tc>
          <w:tcPr>
            <w:tcW w:w="1685" w:type="dxa"/>
            <w:gridSpan w:val="3"/>
            <w:shd w:val="clear" w:color="auto" w:fill="FFFFFF" w:themeFill="background1"/>
          </w:tcPr>
          <w:p w14:paraId="3E32DF6B" w14:textId="1DFFBA86" w:rsidR="00F037C3" w:rsidDel="00B04E87" w:rsidRDefault="00F61BD1" w:rsidP="005B4DA5">
            <w:hyperlink r:id="rId33" w:history="1">
              <w:r w:rsidR="00281BF7" w:rsidRPr="00263CAC">
                <w:rPr>
                  <w:rStyle w:val="Hyperlink"/>
                </w:rPr>
                <w:t>NAIC Model 200 § 5</w:t>
              </w:r>
              <w:r w:rsidR="005D5E52">
                <w:rPr>
                  <w:rStyle w:val="Hyperlink"/>
                </w:rPr>
                <w:t>B</w:t>
              </w:r>
              <w:r w:rsidR="00281BF7" w:rsidRPr="00263CAC">
                <w:rPr>
                  <w:rStyle w:val="Hyperlink"/>
                </w:rPr>
                <w:t>(10)</w:t>
              </w:r>
            </w:hyperlink>
          </w:p>
        </w:tc>
        <w:tc>
          <w:tcPr>
            <w:tcW w:w="3006" w:type="dxa"/>
            <w:gridSpan w:val="2"/>
            <w:shd w:val="clear" w:color="auto" w:fill="FFFFFF" w:themeFill="background1"/>
          </w:tcPr>
          <w:p w14:paraId="2CD269E2" w14:textId="77777777" w:rsidR="00F037C3" w:rsidRDefault="00281BF7" w:rsidP="005B4DA5">
            <w:pPr>
              <w:rPr>
                <w:rFonts w:cstheme="minorHAnsi"/>
                <w:sz w:val="21"/>
                <w:szCs w:val="21"/>
              </w:rPr>
            </w:pPr>
            <w:r>
              <w:rPr>
                <w:rFonts w:cstheme="minorHAnsi"/>
                <w:sz w:val="21"/>
                <w:szCs w:val="21"/>
              </w:rPr>
              <w:t>If part of the asset maintenance requirement is to be met by maintaining a reserve liability in the general account, a description of: (a) circumstances under which increases and decreases in the general account portion of the reserve liability will be made; (b) circumstances under which transfers will be made between the separate account and the general account; and (c) any arrangements needed to provide sufficient liquidity in the general account to enable the insurer to make transfers to the separate account when due.</w:t>
            </w:r>
          </w:p>
          <w:p w14:paraId="40B1EBDB" w14:textId="2321B85F" w:rsidR="00281BF7" w:rsidRDefault="00281BF7" w:rsidP="005B4DA5">
            <w:pPr>
              <w:rPr>
                <w:rFonts w:cstheme="minorHAnsi"/>
                <w:sz w:val="21"/>
                <w:szCs w:val="21"/>
              </w:rPr>
            </w:pPr>
            <w:r w:rsidRPr="00EA1B0D">
              <w:rPr>
                <w:rFonts w:cstheme="minorHAnsi"/>
                <w:i/>
                <w:sz w:val="21"/>
                <w:szCs w:val="21"/>
                <w:highlight w:val="yellow"/>
              </w:rPr>
              <w:t>(*Subject to review by chief actuar</w:t>
            </w:r>
            <w:r w:rsidRPr="004D1C8C">
              <w:rPr>
                <w:rFonts w:cstheme="minorHAnsi"/>
                <w:i/>
                <w:sz w:val="21"/>
                <w:szCs w:val="21"/>
              </w:rPr>
              <w:t>y)</w:t>
            </w:r>
          </w:p>
        </w:tc>
        <w:tc>
          <w:tcPr>
            <w:tcW w:w="1252" w:type="dxa"/>
            <w:shd w:val="clear" w:color="auto" w:fill="FFFFFF" w:themeFill="background1"/>
          </w:tcPr>
          <w:p w14:paraId="04B1FE30" w14:textId="77777777" w:rsidR="00F037C3" w:rsidRPr="00EC39E0" w:rsidRDefault="00F037C3" w:rsidP="005B4DA5">
            <w:pPr>
              <w:rPr>
                <w:rFonts w:cstheme="minorHAnsi"/>
                <w:sz w:val="21"/>
                <w:szCs w:val="21"/>
              </w:rPr>
            </w:pPr>
          </w:p>
        </w:tc>
      </w:tr>
      <w:tr w:rsidR="00F037C3" w:rsidRPr="00EC39E0" w14:paraId="417FF6CD" w14:textId="77777777" w:rsidTr="00595692">
        <w:tc>
          <w:tcPr>
            <w:tcW w:w="1092" w:type="dxa"/>
            <w:shd w:val="clear" w:color="auto" w:fill="FFFFFF" w:themeFill="background1"/>
          </w:tcPr>
          <w:p w14:paraId="37E34B7A" w14:textId="18C31C1E" w:rsidR="00F037C3" w:rsidRPr="00EC39E0" w:rsidRDefault="00F037C3"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25D35313" w14:textId="27CD2E68" w:rsidR="00F037C3" w:rsidRPr="00EC39E0" w:rsidRDefault="00281BF7" w:rsidP="005B4DA5">
            <w:pPr>
              <w:rPr>
                <w:rFonts w:cstheme="minorHAnsi"/>
                <w:sz w:val="21"/>
                <w:szCs w:val="21"/>
              </w:rPr>
            </w:pPr>
            <w:r>
              <w:rPr>
                <w:rFonts w:cstheme="minorHAnsi"/>
                <w:sz w:val="21"/>
                <w:szCs w:val="21"/>
              </w:rPr>
              <w:t>Statement re accounts chargeable with outside liabilities</w:t>
            </w:r>
          </w:p>
        </w:tc>
        <w:tc>
          <w:tcPr>
            <w:tcW w:w="1685" w:type="dxa"/>
            <w:gridSpan w:val="3"/>
            <w:shd w:val="clear" w:color="auto" w:fill="FFFFFF" w:themeFill="background1"/>
          </w:tcPr>
          <w:p w14:paraId="3726CBE1" w14:textId="27409F46" w:rsidR="00F037C3" w:rsidDel="00B04E87" w:rsidRDefault="00F61BD1" w:rsidP="005B4DA5">
            <w:hyperlink r:id="rId34" w:history="1">
              <w:r w:rsidR="00281BF7" w:rsidRPr="00263CAC">
                <w:rPr>
                  <w:rStyle w:val="Hyperlink"/>
                </w:rPr>
                <w:t>NAIC Model 200 § 5</w:t>
              </w:r>
              <w:r w:rsidR="005D5E52">
                <w:rPr>
                  <w:rStyle w:val="Hyperlink"/>
                </w:rPr>
                <w:t>B</w:t>
              </w:r>
              <w:r w:rsidR="00281BF7" w:rsidRPr="00263CAC">
                <w:rPr>
                  <w:rStyle w:val="Hyperlink"/>
                </w:rPr>
                <w:t>(11)</w:t>
              </w:r>
            </w:hyperlink>
          </w:p>
        </w:tc>
        <w:tc>
          <w:tcPr>
            <w:tcW w:w="3006" w:type="dxa"/>
            <w:gridSpan w:val="2"/>
            <w:shd w:val="clear" w:color="auto" w:fill="FFFFFF" w:themeFill="background1"/>
          </w:tcPr>
          <w:p w14:paraId="6668579E" w14:textId="1B90B13F" w:rsidR="00F037C3" w:rsidRDefault="00281BF7" w:rsidP="005B4DA5">
            <w:pPr>
              <w:rPr>
                <w:rFonts w:cstheme="minorHAnsi"/>
                <w:sz w:val="21"/>
                <w:szCs w:val="21"/>
              </w:rPr>
            </w:pPr>
            <w:r>
              <w:rPr>
                <w:rFonts w:cstheme="minorHAnsi"/>
                <w:sz w:val="21"/>
                <w:szCs w:val="21"/>
              </w:rPr>
              <w:t>Statement as to the extent to which the contracts in the class will provide that the separate account assets shall not be chargeable with liabilities arising out of any other business of the insurer.</w:t>
            </w:r>
          </w:p>
        </w:tc>
        <w:tc>
          <w:tcPr>
            <w:tcW w:w="1252" w:type="dxa"/>
            <w:shd w:val="clear" w:color="auto" w:fill="FFFFFF" w:themeFill="background1"/>
          </w:tcPr>
          <w:p w14:paraId="4BF64348" w14:textId="77777777" w:rsidR="00F037C3" w:rsidRPr="00EC39E0" w:rsidRDefault="00F037C3" w:rsidP="005B4DA5">
            <w:pPr>
              <w:rPr>
                <w:rFonts w:cstheme="minorHAnsi"/>
                <w:sz w:val="21"/>
                <w:szCs w:val="21"/>
              </w:rPr>
            </w:pPr>
          </w:p>
        </w:tc>
      </w:tr>
      <w:tr w:rsidR="00D30F23" w:rsidRPr="00EC39E0" w14:paraId="320233B3" w14:textId="77777777" w:rsidTr="00595692">
        <w:tc>
          <w:tcPr>
            <w:tcW w:w="1092" w:type="dxa"/>
            <w:shd w:val="clear" w:color="auto" w:fill="FFFFFF" w:themeFill="background1"/>
          </w:tcPr>
          <w:p w14:paraId="6FC1607A" w14:textId="64185A22" w:rsidR="00D30F23" w:rsidRPr="00EC39E0" w:rsidRDefault="00D30F23"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689F14E4" w14:textId="4AB9BB65" w:rsidR="00D30F23" w:rsidRDefault="00D30F23" w:rsidP="005B4DA5">
            <w:pPr>
              <w:rPr>
                <w:rFonts w:cstheme="minorHAnsi"/>
                <w:sz w:val="21"/>
                <w:szCs w:val="21"/>
              </w:rPr>
            </w:pPr>
            <w:r>
              <w:rPr>
                <w:rFonts w:cstheme="minorHAnsi"/>
                <w:sz w:val="21"/>
                <w:szCs w:val="21"/>
              </w:rPr>
              <w:t>Foreign currency</w:t>
            </w:r>
          </w:p>
        </w:tc>
        <w:tc>
          <w:tcPr>
            <w:tcW w:w="1685" w:type="dxa"/>
            <w:gridSpan w:val="3"/>
            <w:shd w:val="clear" w:color="auto" w:fill="FFFFFF" w:themeFill="background1"/>
          </w:tcPr>
          <w:p w14:paraId="39F1504F" w14:textId="1E879DF4" w:rsidR="00D30F23" w:rsidRDefault="00F61BD1" w:rsidP="005B4DA5">
            <w:hyperlink r:id="rId35" w:history="1">
              <w:r w:rsidR="00D30F23" w:rsidRPr="00263CAC">
                <w:rPr>
                  <w:rStyle w:val="Hyperlink"/>
                </w:rPr>
                <w:t>NAIC Model 200 § 5D</w:t>
              </w:r>
            </w:hyperlink>
          </w:p>
        </w:tc>
        <w:tc>
          <w:tcPr>
            <w:tcW w:w="3006" w:type="dxa"/>
            <w:gridSpan w:val="2"/>
            <w:shd w:val="clear" w:color="auto" w:fill="FFFFFF" w:themeFill="background1"/>
          </w:tcPr>
          <w:p w14:paraId="79A2CC99" w14:textId="43A9E77F" w:rsidR="00D30F23" w:rsidRDefault="00D30F23" w:rsidP="005B4DA5">
            <w:pPr>
              <w:rPr>
                <w:rFonts w:cstheme="minorHAnsi"/>
                <w:sz w:val="21"/>
                <w:szCs w:val="21"/>
              </w:rPr>
            </w:pPr>
            <w:r>
              <w:rPr>
                <w:rFonts w:cstheme="minorHAnsi"/>
                <w:sz w:val="21"/>
                <w:szCs w:val="21"/>
              </w:rPr>
              <w:t xml:space="preserve">May provide that the separate account will fund GC liabilities denominated in the currency of a foreign country with separate account and any supplemental account assets denominated in that currency, provided that at the time of issuance of the </w:t>
            </w:r>
            <w:r>
              <w:rPr>
                <w:rFonts w:cstheme="minorHAnsi"/>
                <w:sz w:val="21"/>
                <w:szCs w:val="21"/>
              </w:rPr>
              <w:lastRenderedPageBreak/>
              <w:t>account contracts, the country is rated in one of the two highest rating categories by an independent nationally recognized U.S. rating agency acceptable to the Director.</w:t>
            </w:r>
          </w:p>
        </w:tc>
        <w:tc>
          <w:tcPr>
            <w:tcW w:w="1252" w:type="dxa"/>
            <w:shd w:val="clear" w:color="auto" w:fill="FFFFFF" w:themeFill="background1"/>
          </w:tcPr>
          <w:p w14:paraId="75900AFB" w14:textId="77777777" w:rsidR="00D30F23" w:rsidRPr="00EC39E0" w:rsidRDefault="00D30F23" w:rsidP="005B4DA5">
            <w:pPr>
              <w:rPr>
                <w:rFonts w:cstheme="minorHAnsi"/>
                <w:sz w:val="21"/>
                <w:szCs w:val="21"/>
              </w:rPr>
            </w:pPr>
          </w:p>
        </w:tc>
      </w:tr>
      <w:tr w:rsidR="0010103F" w:rsidRPr="00EC39E0" w14:paraId="6A2A29BF" w14:textId="77777777" w:rsidTr="00595692">
        <w:tc>
          <w:tcPr>
            <w:tcW w:w="1092" w:type="dxa"/>
            <w:shd w:val="clear" w:color="auto" w:fill="FFFFFF" w:themeFill="background1"/>
          </w:tcPr>
          <w:p w14:paraId="3EC0909E" w14:textId="688C948A" w:rsidR="0010103F" w:rsidRPr="00EC39E0" w:rsidRDefault="0010103F"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7C78E3E6" w14:textId="7DA54FEC" w:rsidR="0010103F" w:rsidRDefault="0010103F" w:rsidP="005B4DA5">
            <w:pPr>
              <w:rPr>
                <w:rFonts w:cstheme="minorHAnsi"/>
                <w:sz w:val="21"/>
                <w:szCs w:val="21"/>
              </w:rPr>
            </w:pPr>
            <w:r>
              <w:rPr>
                <w:rFonts w:cstheme="minorHAnsi"/>
                <w:sz w:val="21"/>
                <w:szCs w:val="21"/>
              </w:rPr>
              <w:t>Asset maintenance</w:t>
            </w:r>
          </w:p>
        </w:tc>
        <w:tc>
          <w:tcPr>
            <w:tcW w:w="1685" w:type="dxa"/>
            <w:gridSpan w:val="3"/>
            <w:shd w:val="clear" w:color="auto" w:fill="FFFFFF" w:themeFill="background1"/>
          </w:tcPr>
          <w:p w14:paraId="44CBDAFA" w14:textId="555F4E91" w:rsidR="0010103F" w:rsidRDefault="0010103F" w:rsidP="005B4DA5">
            <w:r>
              <w:t>NAIC Model 200 § 7</w:t>
            </w:r>
          </w:p>
        </w:tc>
        <w:tc>
          <w:tcPr>
            <w:tcW w:w="3006" w:type="dxa"/>
            <w:gridSpan w:val="2"/>
            <w:shd w:val="clear" w:color="auto" w:fill="FFFFFF" w:themeFill="background1"/>
          </w:tcPr>
          <w:p w14:paraId="10047603" w14:textId="77777777" w:rsidR="0010103F" w:rsidRDefault="0010103F" w:rsidP="005B4DA5">
            <w:pPr>
              <w:rPr>
                <w:rFonts w:cstheme="minorHAnsi"/>
                <w:sz w:val="21"/>
                <w:szCs w:val="21"/>
              </w:rPr>
            </w:pPr>
            <w:r>
              <w:rPr>
                <w:rFonts w:cstheme="minorHAnsi"/>
                <w:sz w:val="21"/>
                <w:szCs w:val="21"/>
              </w:rPr>
              <w:t>Asset maintenance requirements for market value separate accounts supporting contracts other than index contracts</w:t>
            </w:r>
          </w:p>
          <w:p w14:paraId="5B9C7C5D" w14:textId="7D3C24B7" w:rsidR="0010103F" w:rsidRDefault="0010103F" w:rsidP="005B4DA5">
            <w:pPr>
              <w:rPr>
                <w:rFonts w:cstheme="minorHAnsi"/>
                <w:sz w:val="21"/>
                <w:szCs w:val="21"/>
              </w:rPr>
            </w:pPr>
            <w:r w:rsidRPr="004D1C8C">
              <w:rPr>
                <w:rFonts w:cstheme="minorHAnsi"/>
                <w:i/>
                <w:sz w:val="21"/>
                <w:szCs w:val="21"/>
              </w:rPr>
              <w:t>(</w:t>
            </w:r>
            <w:r w:rsidRPr="00EA1B0D">
              <w:rPr>
                <w:rFonts w:cstheme="minorHAnsi"/>
                <w:i/>
                <w:sz w:val="21"/>
                <w:szCs w:val="21"/>
                <w:highlight w:val="yellow"/>
              </w:rPr>
              <w:t>*Subject to review by chief actuary</w:t>
            </w:r>
            <w:r w:rsidRPr="004D1C8C">
              <w:rPr>
                <w:rFonts w:cstheme="minorHAnsi"/>
                <w:i/>
                <w:sz w:val="21"/>
                <w:szCs w:val="21"/>
              </w:rPr>
              <w:t>)</w:t>
            </w:r>
          </w:p>
        </w:tc>
        <w:tc>
          <w:tcPr>
            <w:tcW w:w="1252" w:type="dxa"/>
            <w:shd w:val="clear" w:color="auto" w:fill="FFFFFF" w:themeFill="background1"/>
          </w:tcPr>
          <w:p w14:paraId="1D5BE9EF" w14:textId="77777777" w:rsidR="0010103F" w:rsidRPr="00EC39E0" w:rsidRDefault="0010103F" w:rsidP="005B4DA5">
            <w:pPr>
              <w:rPr>
                <w:rFonts w:cstheme="minorHAnsi"/>
                <w:sz w:val="21"/>
                <w:szCs w:val="21"/>
              </w:rPr>
            </w:pPr>
          </w:p>
        </w:tc>
      </w:tr>
      <w:tr w:rsidR="0010103F" w:rsidRPr="00EC39E0" w14:paraId="515F00ED" w14:textId="77777777" w:rsidTr="00595692">
        <w:tc>
          <w:tcPr>
            <w:tcW w:w="1092" w:type="dxa"/>
            <w:shd w:val="clear" w:color="auto" w:fill="FFFFFF" w:themeFill="background1"/>
          </w:tcPr>
          <w:p w14:paraId="2F62F66D" w14:textId="5FE73244" w:rsidR="0010103F" w:rsidRPr="00EC39E0" w:rsidRDefault="0010103F"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02947491" w14:textId="02444032" w:rsidR="0010103F" w:rsidRDefault="0010103F" w:rsidP="005B4DA5">
            <w:pPr>
              <w:rPr>
                <w:rFonts w:cstheme="minorHAnsi"/>
                <w:sz w:val="21"/>
                <w:szCs w:val="21"/>
              </w:rPr>
            </w:pPr>
            <w:r>
              <w:rPr>
                <w:rFonts w:cstheme="minorHAnsi"/>
                <w:sz w:val="21"/>
                <w:szCs w:val="21"/>
              </w:rPr>
              <w:t>Asset maintenance</w:t>
            </w:r>
          </w:p>
        </w:tc>
        <w:tc>
          <w:tcPr>
            <w:tcW w:w="1685" w:type="dxa"/>
            <w:gridSpan w:val="3"/>
            <w:shd w:val="clear" w:color="auto" w:fill="FFFFFF" w:themeFill="background1"/>
          </w:tcPr>
          <w:p w14:paraId="14487E4C" w14:textId="31BE4F78" w:rsidR="0010103F" w:rsidRDefault="0010103F" w:rsidP="005B4DA5">
            <w:r>
              <w:t>NAIC Model 200 § 8</w:t>
            </w:r>
          </w:p>
        </w:tc>
        <w:tc>
          <w:tcPr>
            <w:tcW w:w="3006" w:type="dxa"/>
            <w:gridSpan w:val="2"/>
            <w:shd w:val="clear" w:color="auto" w:fill="FFFFFF" w:themeFill="background1"/>
          </w:tcPr>
          <w:p w14:paraId="1A782564" w14:textId="77777777" w:rsidR="0010103F" w:rsidRDefault="0010103F" w:rsidP="005B4DA5">
            <w:pPr>
              <w:rPr>
                <w:rFonts w:cstheme="minorHAnsi"/>
                <w:sz w:val="21"/>
                <w:szCs w:val="21"/>
              </w:rPr>
            </w:pPr>
            <w:r>
              <w:rPr>
                <w:rFonts w:cstheme="minorHAnsi"/>
                <w:sz w:val="21"/>
                <w:szCs w:val="21"/>
              </w:rPr>
              <w:t>Asset maintenance requirements for market value separate accounts supporting index contracts</w:t>
            </w:r>
          </w:p>
          <w:p w14:paraId="3C21F61D" w14:textId="4C538403" w:rsidR="0010103F" w:rsidRDefault="0010103F" w:rsidP="005B4DA5">
            <w:pPr>
              <w:rPr>
                <w:rFonts w:cstheme="minorHAnsi"/>
                <w:sz w:val="21"/>
                <w:szCs w:val="21"/>
              </w:rPr>
            </w:pPr>
            <w:r w:rsidRPr="00EA1B0D">
              <w:rPr>
                <w:rFonts w:cstheme="minorHAnsi"/>
                <w:i/>
                <w:sz w:val="21"/>
                <w:szCs w:val="21"/>
                <w:highlight w:val="yellow"/>
              </w:rPr>
              <w:t>(*Subject to review by chief actuary)</w:t>
            </w:r>
          </w:p>
        </w:tc>
        <w:tc>
          <w:tcPr>
            <w:tcW w:w="1252" w:type="dxa"/>
            <w:shd w:val="clear" w:color="auto" w:fill="FFFFFF" w:themeFill="background1"/>
          </w:tcPr>
          <w:p w14:paraId="7DEB9278" w14:textId="77777777" w:rsidR="0010103F" w:rsidRPr="00EC39E0" w:rsidRDefault="0010103F" w:rsidP="005B4DA5">
            <w:pPr>
              <w:rPr>
                <w:rFonts w:cstheme="minorHAnsi"/>
                <w:sz w:val="21"/>
                <w:szCs w:val="21"/>
              </w:rPr>
            </w:pPr>
          </w:p>
        </w:tc>
      </w:tr>
      <w:tr w:rsidR="0010103F" w:rsidRPr="00EC39E0" w14:paraId="0A4FB734" w14:textId="77777777" w:rsidTr="00595692">
        <w:tc>
          <w:tcPr>
            <w:tcW w:w="1092" w:type="dxa"/>
            <w:shd w:val="clear" w:color="auto" w:fill="FFFFFF" w:themeFill="background1"/>
          </w:tcPr>
          <w:p w14:paraId="250EB1D4" w14:textId="28B57A18" w:rsidR="0010103F" w:rsidRPr="00EC39E0" w:rsidRDefault="0010103F" w:rsidP="005B4DA5">
            <w:pPr>
              <w:rPr>
                <w:rFonts w:cstheme="minorHAnsi"/>
                <w:sz w:val="21"/>
                <w:szCs w:val="21"/>
              </w:rPr>
            </w:pPr>
            <w:r w:rsidRPr="00EC39E0">
              <w:rPr>
                <w:rFonts w:cstheme="minorHAnsi"/>
                <w:sz w:val="21"/>
                <w:szCs w:val="21"/>
              </w:rPr>
              <w:sym w:font="Wingdings" w:char="F06F"/>
            </w:r>
          </w:p>
        </w:tc>
        <w:tc>
          <w:tcPr>
            <w:tcW w:w="2315" w:type="dxa"/>
            <w:gridSpan w:val="2"/>
            <w:shd w:val="clear" w:color="auto" w:fill="FFFFFF" w:themeFill="background1"/>
          </w:tcPr>
          <w:p w14:paraId="3FC8D36E" w14:textId="2345E572" w:rsidR="0010103F" w:rsidRDefault="0010103F" w:rsidP="005B4DA5">
            <w:pPr>
              <w:rPr>
                <w:rFonts w:cstheme="minorHAnsi"/>
                <w:sz w:val="21"/>
                <w:szCs w:val="21"/>
              </w:rPr>
            </w:pPr>
            <w:r>
              <w:rPr>
                <w:rFonts w:cstheme="minorHAnsi"/>
                <w:sz w:val="21"/>
                <w:szCs w:val="21"/>
              </w:rPr>
              <w:t>Asset maintenance</w:t>
            </w:r>
          </w:p>
        </w:tc>
        <w:tc>
          <w:tcPr>
            <w:tcW w:w="1685" w:type="dxa"/>
            <w:gridSpan w:val="3"/>
            <w:shd w:val="clear" w:color="auto" w:fill="FFFFFF" w:themeFill="background1"/>
          </w:tcPr>
          <w:p w14:paraId="1663EC65" w14:textId="31AAF325" w:rsidR="0010103F" w:rsidRDefault="0010103F" w:rsidP="005B4DA5">
            <w:r>
              <w:t>NAIC Model 200 § 9</w:t>
            </w:r>
          </w:p>
        </w:tc>
        <w:tc>
          <w:tcPr>
            <w:tcW w:w="3006" w:type="dxa"/>
            <w:gridSpan w:val="2"/>
            <w:shd w:val="clear" w:color="auto" w:fill="FFFFFF" w:themeFill="background1"/>
          </w:tcPr>
          <w:p w14:paraId="5769D4B9" w14:textId="77777777" w:rsidR="0010103F" w:rsidRDefault="0010103F" w:rsidP="005B4DA5">
            <w:pPr>
              <w:rPr>
                <w:rFonts w:cstheme="minorHAnsi"/>
                <w:sz w:val="21"/>
                <w:szCs w:val="21"/>
              </w:rPr>
            </w:pPr>
            <w:r>
              <w:rPr>
                <w:rFonts w:cstheme="minorHAnsi"/>
                <w:sz w:val="21"/>
                <w:szCs w:val="21"/>
              </w:rPr>
              <w:t>Asset maintenance requirements for separate accounts supporting book value contracts</w:t>
            </w:r>
          </w:p>
          <w:p w14:paraId="12709278" w14:textId="052933F6" w:rsidR="0010103F" w:rsidRDefault="0010103F" w:rsidP="005B4DA5">
            <w:pPr>
              <w:rPr>
                <w:rFonts w:cstheme="minorHAnsi"/>
                <w:sz w:val="21"/>
                <w:szCs w:val="21"/>
              </w:rPr>
            </w:pPr>
            <w:r w:rsidRPr="004D1C8C">
              <w:rPr>
                <w:rFonts w:cstheme="minorHAnsi"/>
                <w:i/>
                <w:sz w:val="21"/>
                <w:szCs w:val="21"/>
              </w:rPr>
              <w:t>(</w:t>
            </w:r>
            <w:r w:rsidRPr="00EA1B0D">
              <w:rPr>
                <w:rFonts w:cstheme="minorHAnsi"/>
                <w:i/>
                <w:sz w:val="21"/>
                <w:szCs w:val="21"/>
                <w:highlight w:val="yellow"/>
              </w:rPr>
              <w:t>*Subject to review by chief actuar</w:t>
            </w:r>
            <w:r w:rsidRPr="004D1C8C">
              <w:rPr>
                <w:rFonts w:cstheme="minorHAnsi"/>
                <w:i/>
                <w:sz w:val="21"/>
                <w:szCs w:val="21"/>
              </w:rPr>
              <w:t>y)</w:t>
            </w:r>
          </w:p>
        </w:tc>
        <w:tc>
          <w:tcPr>
            <w:tcW w:w="1252" w:type="dxa"/>
            <w:shd w:val="clear" w:color="auto" w:fill="FFFFFF" w:themeFill="background1"/>
          </w:tcPr>
          <w:p w14:paraId="03AFCCC8" w14:textId="77777777" w:rsidR="0010103F" w:rsidRPr="00EC39E0" w:rsidRDefault="0010103F" w:rsidP="005B4DA5">
            <w:pPr>
              <w:rPr>
                <w:rFonts w:cstheme="minorHAnsi"/>
                <w:sz w:val="21"/>
                <w:szCs w:val="21"/>
              </w:rPr>
            </w:pPr>
          </w:p>
        </w:tc>
      </w:tr>
      <w:tr w:rsidR="005B4DA5" w:rsidRPr="00EC39E0" w14:paraId="50DD4610" w14:textId="77777777" w:rsidTr="00595692">
        <w:tc>
          <w:tcPr>
            <w:tcW w:w="1092" w:type="dxa"/>
            <w:shd w:val="clear" w:color="auto" w:fill="E7E6E6" w:themeFill="background2"/>
          </w:tcPr>
          <w:p w14:paraId="24BA824A" w14:textId="7A1845C3" w:rsidR="005B4DA5" w:rsidRPr="00EC39E0" w:rsidRDefault="005B4DA5" w:rsidP="005B4DA5">
            <w:pPr>
              <w:rPr>
                <w:rFonts w:cstheme="minorHAnsi"/>
                <w:sz w:val="21"/>
                <w:szCs w:val="21"/>
              </w:rPr>
            </w:pPr>
          </w:p>
        </w:tc>
        <w:tc>
          <w:tcPr>
            <w:tcW w:w="8258" w:type="dxa"/>
            <w:gridSpan w:val="8"/>
            <w:shd w:val="clear" w:color="auto" w:fill="E7E6E6" w:themeFill="background2"/>
          </w:tcPr>
          <w:p w14:paraId="13A1E23E" w14:textId="7B311333" w:rsidR="005B4DA5" w:rsidRPr="00EC39E0" w:rsidRDefault="005B4DA5" w:rsidP="005B4DA5">
            <w:pPr>
              <w:rPr>
                <w:rFonts w:cstheme="minorHAnsi"/>
                <w:b/>
                <w:sz w:val="21"/>
                <w:szCs w:val="21"/>
              </w:rPr>
            </w:pPr>
            <w:r w:rsidRPr="00EC39E0">
              <w:rPr>
                <w:rFonts w:cstheme="minorHAnsi"/>
                <w:sz w:val="21"/>
                <w:szCs w:val="21"/>
              </w:rPr>
              <w:br w:type="page"/>
            </w:r>
            <w:r w:rsidRPr="00EC39E0">
              <w:rPr>
                <w:rFonts w:cstheme="minorHAnsi"/>
                <w:b/>
                <w:sz w:val="21"/>
                <w:szCs w:val="21"/>
              </w:rPr>
              <w:t>SUPPORTING DOCUMENTS REQUIRED</w:t>
            </w:r>
          </w:p>
          <w:p w14:paraId="1D22888D" w14:textId="2F5F1ED7" w:rsidR="005B4DA5" w:rsidRPr="00EC39E0" w:rsidRDefault="005B4DA5" w:rsidP="005B4DA5">
            <w:pPr>
              <w:rPr>
                <w:rFonts w:cstheme="minorHAnsi"/>
                <w:sz w:val="21"/>
                <w:szCs w:val="21"/>
              </w:rPr>
            </w:pPr>
            <w:r w:rsidRPr="00EC39E0">
              <w:rPr>
                <w:rFonts w:cstheme="minorHAnsi"/>
                <w:b/>
                <w:sz w:val="21"/>
                <w:szCs w:val="21"/>
              </w:rPr>
              <w:t>Reference name of separate document in right column.</w:t>
            </w:r>
          </w:p>
        </w:tc>
      </w:tr>
      <w:tr w:rsidR="005B4DA5" w:rsidRPr="00EC39E0" w14:paraId="775A455B" w14:textId="77777777" w:rsidTr="00595692">
        <w:tc>
          <w:tcPr>
            <w:tcW w:w="1092" w:type="dxa"/>
          </w:tcPr>
          <w:p w14:paraId="20F34747" w14:textId="4A0584A8"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15" w:type="dxa"/>
            <w:gridSpan w:val="2"/>
          </w:tcPr>
          <w:p w14:paraId="30022AA9" w14:textId="50BEEAFC" w:rsidR="005B4DA5" w:rsidRPr="00EC39E0" w:rsidRDefault="005B4DA5" w:rsidP="005B4DA5">
            <w:pPr>
              <w:rPr>
                <w:rFonts w:cstheme="minorHAnsi"/>
                <w:sz w:val="21"/>
                <w:szCs w:val="21"/>
              </w:rPr>
            </w:pPr>
            <w:r w:rsidRPr="00EC39E0">
              <w:rPr>
                <w:rFonts w:cstheme="minorHAnsi"/>
                <w:color w:val="010202"/>
                <w:sz w:val="21"/>
                <w:szCs w:val="21"/>
              </w:rPr>
              <w:t>Copies of the forms of the contract in the class</w:t>
            </w:r>
          </w:p>
        </w:tc>
        <w:tc>
          <w:tcPr>
            <w:tcW w:w="1685" w:type="dxa"/>
            <w:gridSpan w:val="3"/>
          </w:tcPr>
          <w:p w14:paraId="5E2B7441" w14:textId="7562D9F2" w:rsidR="005B4DA5" w:rsidRPr="00EC39E0" w:rsidRDefault="00F61BD1" w:rsidP="00B04E87">
            <w:pPr>
              <w:rPr>
                <w:rStyle w:val="Hyperlink"/>
                <w:rFonts w:cstheme="minorHAnsi"/>
                <w:sz w:val="21"/>
                <w:szCs w:val="21"/>
              </w:rPr>
            </w:pPr>
            <w:hyperlink r:id="rId36" w:history="1">
              <w:r w:rsidR="00B04E87">
                <w:rPr>
                  <w:rStyle w:val="Hyperlink"/>
                  <w:rFonts w:cstheme="minorHAnsi"/>
                  <w:sz w:val="21"/>
                  <w:szCs w:val="21"/>
                </w:rPr>
                <w:t>Nebraska</w:t>
              </w:r>
            </w:hyperlink>
            <w:r w:rsidR="00B04E87">
              <w:rPr>
                <w:rStyle w:val="Hyperlink"/>
                <w:rFonts w:cstheme="minorHAnsi"/>
                <w:sz w:val="21"/>
                <w:szCs w:val="21"/>
              </w:rPr>
              <w:t xml:space="preserve"> actuarial requirement</w:t>
            </w:r>
          </w:p>
        </w:tc>
        <w:tc>
          <w:tcPr>
            <w:tcW w:w="3006" w:type="dxa"/>
            <w:gridSpan w:val="2"/>
          </w:tcPr>
          <w:p w14:paraId="4417B9CE" w14:textId="68BB733B" w:rsidR="005B4DA5" w:rsidRPr="00EC39E0" w:rsidRDefault="000963AC" w:rsidP="000963AC">
            <w:pPr>
              <w:rPr>
                <w:rFonts w:cstheme="minorHAnsi"/>
                <w:sz w:val="21"/>
                <w:szCs w:val="21"/>
              </w:rPr>
            </w:pPr>
            <w:r w:rsidRPr="00EC39E0">
              <w:rPr>
                <w:rFonts w:cstheme="minorHAnsi"/>
                <w:color w:val="010202"/>
                <w:sz w:val="21"/>
                <w:szCs w:val="21"/>
              </w:rPr>
              <w:t>.</w:t>
            </w:r>
            <w:r w:rsidR="00B04E87">
              <w:rPr>
                <w:rFonts w:cstheme="minorHAnsi"/>
                <w:color w:val="010202"/>
                <w:sz w:val="21"/>
                <w:szCs w:val="21"/>
              </w:rPr>
              <w:t>Three sample contracts chosen to demonstrate the range of possible combinations of contract provisions.</w:t>
            </w:r>
          </w:p>
        </w:tc>
        <w:tc>
          <w:tcPr>
            <w:tcW w:w="1252" w:type="dxa"/>
          </w:tcPr>
          <w:p w14:paraId="5D3FE5A8" w14:textId="77777777" w:rsidR="005B4DA5" w:rsidRPr="00EC39E0" w:rsidRDefault="005B4DA5" w:rsidP="005B4DA5">
            <w:pPr>
              <w:rPr>
                <w:rFonts w:cstheme="minorHAnsi"/>
                <w:sz w:val="21"/>
                <w:szCs w:val="21"/>
              </w:rPr>
            </w:pPr>
          </w:p>
        </w:tc>
      </w:tr>
      <w:tr w:rsidR="005B4DA5" w:rsidRPr="00EC39E0" w14:paraId="0C2681DE" w14:textId="77777777" w:rsidTr="00595692">
        <w:tc>
          <w:tcPr>
            <w:tcW w:w="1092" w:type="dxa"/>
          </w:tcPr>
          <w:p w14:paraId="639C2F0C" w14:textId="6D122D58"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15" w:type="dxa"/>
            <w:gridSpan w:val="2"/>
          </w:tcPr>
          <w:p w14:paraId="79C5CF13" w14:textId="3E63C672" w:rsidR="005B4DA5" w:rsidRPr="00EC39E0" w:rsidRDefault="005B4DA5" w:rsidP="005B4DA5">
            <w:pPr>
              <w:rPr>
                <w:rFonts w:cstheme="minorHAnsi"/>
                <w:sz w:val="21"/>
                <w:szCs w:val="21"/>
              </w:rPr>
            </w:pPr>
            <w:r w:rsidRPr="00EC39E0">
              <w:rPr>
                <w:rFonts w:cstheme="minorHAnsi"/>
                <w:sz w:val="21"/>
                <w:szCs w:val="21"/>
              </w:rPr>
              <w:t>Actuarial memorandum</w:t>
            </w:r>
          </w:p>
        </w:tc>
        <w:tc>
          <w:tcPr>
            <w:tcW w:w="1685" w:type="dxa"/>
            <w:gridSpan w:val="3"/>
          </w:tcPr>
          <w:p w14:paraId="34A60570" w14:textId="045A1ABF" w:rsidR="005B4DA5" w:rsidRPr="00EC39E0" w:rsidRDefault="00523652" w:rsidP="005B4DA5">
            <w:pPr>
              <w:rPr>
                <w:rFonts w:cstheme="minorHAnsi"/>
                <w:sz w:val="21"/>
                <w:szCs w:val="21"/>
              </w:rPr>
            </w:pPr>
            <w:r>
              <w:rPr>
                <w:rFonts w:cstheme="minorHAnsi"/>
                <w:sz w:val="21"/>
                <w:szCs w:val="21"/>
              </w:rPr>
              <w:t>NAIC Model 200 § 10</w:t>
            </w:r>
          </w:p>
        </w:tc>
        <w:tc>
          <w:tcPr>
            <w:tcW w:w="3006" w:type="dxa"/>
            <w:gridSpan w:val="2"/>
          </w:tcPr>
          <w:p w14:paraId="08F4CE22" w14:textId="68994AF0" w:rsidR="005B4DA5" w:rsidRDefault="00AB7CE5" w:rsidP="005B4DA5">
            <w:pPr>
              <w:autoSpaceDE w:val="0"/>
              <w:autoSpaceDN w:val="0"/>
              <w:adjustRightInd w:val="0"/>
              <w:rPr>
                <w:rFonts w:cstheme="minorHAnsi"/>
                <w:sz w:val="21"/>
                <w:szCs w:val="21"/>
              </w:rPr>
            </w:pPr>
            <w:r>
              <w:rPr>
                <w:rFonts w:cstheme="minorHAnsi"/>
                <w:sz w:val="21"/>
                <w:szCs w:val="21"/>
              </w:rPr>
              <w:t>If already issuing GIC products, please provide reference to most recently filed actuarial memorandum</w:t>
            </w:r>
          </w:p>
          <w:p w14:paraId="602B6523" w14:textId="3F346A36" w:rsidR="00EC67CC" w:rsidRPr="00EC39E0" w:rsidRDefault="00EC67CC" w:rsidP="005B4DA5">
            <w:pPr>
              <w:autoSpaceDE w:val="0"/>
              <w:autoSpaceDN w:val="0"/>
              <w:adjustRightInd w:val="0"/>
              <w:rPr>
                <w:rFonts w:cstheme="minorHAnsi"/>
                <w:color w:val="010202"/>
                <w:sz w:val="21"/>
                <w:szCs w:val="21"/>
              </w:rPr>
            </w:pPr>
            <w:r w:rsidRPr="00F61BD1">
              <w:rPr>
                <w:rFonts w:cstheme="minorHAnsi"/>
                <w:i/>
                <w:sz w:val="21"/>
                <w:szCs w:val="21"/>
                <w:highlight w:val="yellow"/>
              </w:rPr>
              <w:t>(*Subject to review by chief actuary</w:t>
            </w:r>
            <w:bookmarkStart w:id="0" w:name="_GoBack"/>
            <w:bookmarkEnd w:id="0"/>
            <w:r w:rsidRPr="004D1C8C">
              <w:rPr>
                <w:rFonts w:cstheme="minorHAnsi"/>
                <w:i/>
                <w:sz w:val="21"/>
                <w:szCs w:val="21"/>
              </w:rPr>
              <w:t>)</w:t>
            </w:r>
          </w:p>
        </w:tc>
        <w:tc>
          <w:tcPr>
            <w:tcW w:w="1252" w:type="dxa"/>
          </w:tcPr>
          <w:p w14:paraId="7BD3EC8B" w14:textId="77777777" w:rsidR="005B4DA5" w:rsidRPr="00EC39E0" w:rsidRDefault="005B4DA5" w:rsidP="005B4DA5">
            <w:pPr>
              <w:rPr>
                <w:rFonts w:cstheme="minorHAnsi"/>
                <w:sz w:val="21"/>
                <w:szCs w:val="21"/>
              </w:rPr>
            </w:pPr>
          </w:p>
        </w:tc>
      </w:tr>
      <w:tr w:rsidR="005B4DA5" w:rsidRPr="00EC39E0" w14:paraId="18E03909" w14:textId="77777777" w:rsidTr="00595692">
        <w:tc>
          <w:tcPr>
            <w:tcW w:w="1092" w:type="dxa"/>
          </w:tcPr>
          <w:p w14:paraId="06551359" w14:textId="4B87DC5E"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15" w:type="dxa"/>
            <w:gridSpan w:val="2"/>
          </w:tcPr>
          <w:p w14:paraId="53D5C088" w14:textId="3C655157" w:rsidR="005B4DA5" w:rsidRPr="00EC39E0" w:rsidRDefault="005B4DA5" w:rsidP="005B4DA5">
            <w:pPr>
              <w:rPr>
                <w:rFonts w:cstheme="minorHAnsi"/>
                <w:sz w:val="21"/>
                <w:szCs w:val="21"/>
              </w:rPr>
            </w:pPr>
            <w:r w:rsidRPr="00EC39E0">
              <w:rPr>
                <w:rFonts w:cstheme="minorHAnsi"/>
                <w:sz w:val="21"/>
                <w:szCs w:val="21"/>
              </w:rPr>
              <w:t xml:space="preserve">Additional information </w:t>
            </w:r>
          </w:p>
        </w:tc>
        <w:tc>
          <w:tcPr>
            <w:tcW w:w="1685" w:type="dxa"/>
            <w:gridSpan w:val="3"/>
          </w:tcPr>
          <w:p w14:paraId="49B76C71" w14:textId="6007176F" w:rsidR="005B4DA5" w:rsidRPr="00EC39E0" w:rsidRDefault="001061EF" w:rsidP="005B4DA5">
            <w:pPr>
              <w:rPr>
                <w:rFonts w:cstheme="minorHAnsi"/>
                <w:sz w:val="21"/>
                <w:szCs w:val="21"/>
              </w:rPr>
            </w:pPr>
            <w:r>
              <w:rPr>
                <w:rFonts w:cstheme="minorHAnsi"/>
                <w:color w:val="010202"/>
                <w:sz w:val="21"/>
                <w:szCs w:val="21"/>
              </w:rPr>
              <w:t xml:space="preserve"> </w:t>
            </w:r>
            <w:hyperlink r:id="rId37" w:history="1">
              <w:r w:rsidRPr="00263CAC">
                <w:rPr>
                  <w:rStyle w:val="Hyperlink"/>
                  <w:rFonts w:cstheme="minorHAnsi"/>
                  <w:sz w:val="21"/>
                  <w:szCs w:val="21"/>
                </w:rPr>
                <w:t>NAIC Model 200 § 5E.</w:t>
              </w:r>
            </w:hyperlink>
          </w:p>
        </w:tc>
        <w:tc>
          <w:tcPr>
            <w:tcW w:w="3006" w:type="dxa"/>
            <w:gridSpan w:val="2"/>
          </w:tcPr>
          <w:p w14:paraId="7C1A9CF1" w14:textId="3FCF428E" w:rsidR="005B4DA5" w:rsidRPr="00EC39E0" w:rsidRDefault="005B4DA5" w:rsidP="005B4DA5">
            <w:pPr>
              <w:autoSpaceDE w:val="0"/>
              <w:autoSpaceDN w:val="0"/>
              <w:adjustRightInd w:val="0"/>
              <w:rPr>
                <w:rFonts w:cstheme="minorHAnsi"/>
                <w:color w:val="010202"/>
                <w:sz w:val="21"/>
                <w:szCs w:val="21"/>
              </w:rPr>
            </w:pPr>
            <w:r w:rsidRPr="00EC39E0">
              <w:rPr>
                <w:rFonts w:cstheme="minorHAnsi"/>
                <w:color w:val="010202"/>
                <w:sz w:val="21"/>
                <w:szCs w:val="21"/>
              </w:rPr>
              <w:t xml:space="preserve">Review of the plan of operation by the Director may necessitate requests for information to supplement that furnished pursuant to </w:t>
            </w:r>
            <w:r w:rsidR="001061EF">
              <w:rPr>
                <w:rFonts w:cstheme="minorHAnsi"/>
                <w:color w:val="010202"/>
                <w:sz w:val="21"/>
                <w:szCs w:val="21"/>
              </w:rPr>
              <w:t>NAIC Model 200 § 5E</w:t>
            </w:r>
            <w:r w:rsidRPr="00EC39E0">
              <w:rPr>
                <w:rFonts w:cstheme="minorHAnsi"/>
                <w:color w:val="010202"/>
                <w:sz w:val="21"/>
                <w:szCs w:val="21"/>
              </w:rPr>
              <w:t>.</w:t>
            </w:r>
          </w:p>
          <w:p w14:paraId="2403B599" w14:textId="77777777" w:rsidR="005B4DA5" w:rsidRPr="00EC39E0" w:rsidRDefault="005B4DA5" w:rsidP="005B4DA5">
            <w:pPr>
              <w:autoSpaceDE w:val="0"/>
              <w:autoSpaceDN w:val="0"/>
              <w:adjustRightInd w:val="0"/>
              <w:rPr>
                <w:rFonts w:cstheme="minorHAnsi"/>
                <w:color w:val="010202"/>
                <w:sz w:val="21"/>
                <w:szCs w:val="21"/>
              </w:rPr>
            </w:pPr>
            <w:r w:rsidRPr="00EC39E0">
              <w:rPr>
                <w:rFonts w:cstheme="minorHAnsi"/>
                <w:color w:val="010202"/>
                <w:sz w:val="21"/>
                <w:szCs w:val="21"/>
              </w:rPr>
              <w:t>Replies made in compliance with this paragraph should be made in sufficient detail</w:t>
            </w:r>
          </w:p>
          <w:p w14:paraId="1CC80AF6" w14:textId="26D227D2" w:rsidR="005B4DA5" w:rsidRPr="00EC39E0" w:rsidRDefault="005B4DA5" w:rsidP="005B4DA5">
            <w:pPr>
              <w:rPr>
                <w:rFonts w:cstheme="minorHAnsi"/>
                <w:sz w:val="21"/>
                <w:szCs w:val="21"/>
              </w:rPr>
            </w:pPr>
            <w:proofErr w:type="gramStart"/>
            <w:r w:rsidRPr="00EC39E0">
              <w:rPr>
                <w:rFonts w:cstheme="minorHAnsi"/>
                <w:color w:val="010202"/>
                <w:sz w:val="21"/>
                <w:szCs w:val="21"/>
              </w:rPr>
              <w:t>that</w:t>
            </w:r>
            <w:proofErr w:type="gramEnd"/>
            <w:r w:rsidRPr="00EC39E0">
              <w:rPr>
                <w:rFonts w:cstheme="minorHAnsi"/>
                <w:color w:val="010202"/>
                <w:sz w:val="21"/>
                <w:szCs w:val="21"/>
              </w:rPr>
              <w:t xml:space="preserve"> any follow-up correspondence can be held to a minimum.</w:t>
            </w:r>
          </w:p>
        </w:tc>
        <w:tc>
          <w:tcPr>
            <w:tcW w:w="1252" w:type="dxa"/>
          </w:tcPr>
          <w:p w14:paraId="41594606" w14:textId="634027A2" w:rsidR="005B4DA5" w:rsidRPr="00EC39E0" w:rsidRDefault="005B4DA5" w:rsidP="005B4DA5">
            <w:pPr>
              <w:rPr>
                <w:rFonts w:cstheme="minorHAnsi"/>
                <w:sz w:val="21"/>
                <w:szCs w:val="21"/>
              </w:rPr>
            </w:pPr>
          </w:p>
        </w:tc>
      </w:tr>
      <w:tr w:rsidR="005B4DA5" w:rsidRPr="00EC39E0" w14:paraId="317A9AAE" w14:textId="77777777" w:rsidTr="00595692">
        <w:tc>
          <w:tcPr>
            <w:tcW w:w="1092" w:type="dxa"/>
          </w:tcPr>
          <w:p w14:paraId="23E94CF4" w14:textId="39561F57" w:rsidR="005B4DA5" w:rsidRPr="00EC39E0" w:rsidRDefault="005B4DA5" w:rsidP="005B4DA5">
            <w:pPr>
              <w:rPr>
                <w:rFonts w:cstheme="minorHAnsi"/>
                <w:sz w:val="21"/>
                <w:szCs w:val="21"/>
              </w:rPr>
            </w:pPr>
            <w:r w:rsidRPr="00EC39E0">
              <w:rPr>
                <w:rFonts w:cstheme="minorHAnsi"/>
                <w:sz w:val="21"/>
                <w:szCs w:val="21"/>
              </w:rPr>
              <w:lastRenderedPageBreak/>
              <w:sym w:font="Wingdings" w:char="F06F"/>
            </w:r>
          </w:p>
        </w:tc>
        <w:tc>
          <w:tcPr>
            <w:tcW w:w="2315" w:type="dxa"/>
            <w:gridSpan w:val="2"/>
          </w:tcPr>
          <w:p w14:paraId="51F0E1D9" w14:textId="528BEAD4" w:rsidR="005B4DA5" w:rsidRPr="00EC39E0" w:rsidRDefault="005B4DA5" w:rsidP="001061EF">
            <w:pPr>
              <w:rPr>
                <w:rFonts w:cstheme="minorHAnsi"/>
                <w:sz w:val="21"/>
                <w:szCs w:val="21"/>
              </w:rPr>
            </w:pPr>
            <w:r w:rsidRPr="00EC39E0">
              <w:rPr>
                <w:rFonts w:cstheme="minorHAnsi"/>
                <w:sz w:val="21"/>
                <w:szCs w:val="21"/>
              </w:rPr>
              <w:t xml:space="preserve">Redlined version </w:t>
            </w:r>
            <w:r w:rsidR="001061EF">
              <w:rPr>
                <w:rFonts w:cstheme="minorHAnsi"/>
                <w:sz w:val="21"/>
                <w:szCs w:val="21"/>
              </w:rPr>
              <w:t>for variance from rates stated in plan of operation</w:t>
            </w:r>
          </w:p>
        </w:tc>
        <w:tc>
          <w:tcPr>
            <w:tcW w:w="1685" w:type="dxa"/>
            <w:gridSpan w:val="3"/>
          </w:tcPr>
          <w:p w14:paraId="21152F28" w14:textId="495625BA" w:rsidR="005B4DA5" w:rsidRPr="00EC39E0" w:rsidRDefault="00F61BD1" w:rsidP="001061EF">
            <w:pPr>
              <w:rPr>
                <w:rFonts w:cstheme="minorHAnsi"/>
                <w:sz w:val="21"/>
                <w:szCs w:val="21"/>
              </w:rPr>
            </w:pPr>
            <w:hyperlink r:id="rId38" w:history="1">
              <w:r w:rsidR="001061EF" w:rsidRPr="00263CAC">
                <w:rPr>
                  <w:rStyle w:val="Hyperlink"/>
                </w:rPr>
                <w:t>NAIC Model 200 § 5C</w:t>
              </w:r>
            </w:hyperlink>
          </w:p>
        </w:tc>
        <w:tc>
          <w:tcPr>
            <w:tcW w:w="3006" w:type="dxa"/>
            <w:gridSpan w:val="2"/>
          </w:tcPr>
          <w:p w14:paraId="44BEC588" w14:textId="66325D52" w:rsidR="005B4DA5" w:rsidRPr="00EC39E0" w:rsidRDefault="001061EF" w:rsidP="005B4DA5">
            <w:pPr>
              <w:rPr>
                <w:rFonts w:cstheme="minorHAnsi"/>
                <w:sz w:val="21"/>
                <w:szCs w:val="21"/>
              </w:rPr>
            </w:pPr>
            <w:r>
              <w:rPr>
                <w:rFonts w:cstheme="minorHAnsi"/>
                <w:color w:val="010202"/>
                <w:sz w:val="21"/>
                <w:szCs w:val="21"/>
              </w:rPr>
              <w:t>Insurer may change the rate used pursuant to Model 200 § 7F to discount GC liabilities and other items applicable to the separate account or any supplemental accounts, provided that the rates used shall not exceed the blended spot rates as prescribed in Model 200 § B(5).  Any such change shall be disclosed and justified in the actuarial opinion submitted pursuant to Model 20</w:t>
            </w:r>
            <w:r w:rsidR="00D30F23">
              <w:rPr>
                <w:rFonts w:cstheme="minorHAnsi"/>
                <w:color w:val="010202"/>
                <w:sz w:val="21"/>
                <w:szCs w:val="21"/>
              </w:rPr>
              <w:t>0 § 10.</w:t>
            </w:r>
          </w:p>
        </w:tc>
        <w:tc>
          <w:tcPr>
            <w:tcW w:w="1252" w:type="dxa"/>
          </w:tcPr>
          <w:p w14:paraId="65ACCE7E" w14:textId="611CCDFA" w:rsidR="005B4DA5" w:rsidRPr="00EC39E0" w:rsidRDefault="005B4DA5" w:rsidP="005B4DA5">
            <w:pPr>
              <w:rPr>
                <w:rFonts w:cstheme="minorHAnsi"/>
                <w:sz w:val="21"/>
                <w:szCs w:val="21"/>
              </w:rPr>
            </w:pPr>
          </w:p>
        </w:tc>
      </w:tr>
      <w:tr w:rsidR="005B4DA5" w:rsidRPr="00EC39E0" w14:paraId="3CCFBA92" w14:textId="77777777" w:rsidTr="00595692">
        <w:tc>
          <w:tcPr>
            <w:tcW w:w="1092" w:type="dxa"/>
          </w:tcPr>
          <w:p w14:paraId="739BFF6C" w14:textId="30A174D2"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15" w:type="dxa"/>
            <w:gridSpan w:val="2"/>
          </w:tcPr>
          <w:p w14:paraId="478CD60F" w14:textId="4839FC97" w:rsidR="005B4DA5" w:rsidRPr="00EC39E0" w:rsidRDefault="005B4DA5" w:rsidP="005B4DA5">
            <w:pPr>
              <w:rPr>
                <w:rFonts w:cstheme="minorHAnsi"/>
                <w:sz w:val="21"/>
                <w:szCs w:val="21"/>
              </w:rPr>
            </w:pPr>
            <w:r w:rsidRPr="00EC39E0">
              <w:rPr>
                <w:rFonts w:cstheme="minorHAnsi"/>
                <w:sz w:val="21"/>
                <w:szCs w:val="21"/>
              </w:rPr>
              <w:t>Statement of variables (SOV)</w:t>
            </w:r>
          </w:p>
        </w:tc>
        <w:tc>
          <w:tcPr>
            <w:tcW w:w="1685" w:type="dxa"/>
            <w:gridSpan w:val="3"/>
          </w:tcPr>
          <w:p w14:paraId="00FCD6EB" w14:textId="5FC1C975" w:rsidR="005B4DA5" w:rsidRPr="00EC39E0" w:rsidRDefault="005D5E52" w:rsidP="005B4DA5">
            <w:pPr>
              <w:rPr>
                <w:rFonts w:cstheme="minorHAnsi"/>
                <w:sz w:val="21"/>
                <w:szCs w:val="21"/>
              </w:rPr>
            </w:pPr>
            <w:r>
              <w:rPr>
                <w:rStyle w:val="Hyperlink"/>
              </w:rPr>
              <w:t>NAIC Model 200 § 6B(2)(a)</w:t>
            </w:r>
          </w:p>
        </w:tc>
        <w:tc>
          <w:tcPr>
            <w:tcW w:w="3006" w:type="dxa"/>
            <w:gridSpan w:val="2"/>
          </w:tcPr>
          <w:p w14:paraId="7ECDA433" w14:textId="5F1EB4BE" w:rsidR="005B4DA5" w:rsidRPr="00EC39E0" w:rsidRDefault="0010103F" w:rsidP="005B4DA5">
            <w:pPr>
              <w:rPr>
                <w:rFonts w:cstheme="minorHAnsi"/>
                <w:sz w:val="21"/>
                <w:szCs w:val="21"/>
              </w:rPr>
            </w:pPr>
            <w:r>
              <w:rPr>
                <w:rFonts w:cstheme="minorHAnsi"/>
                <w:sz w:val="21"/>
                <w:szCs w:val="21"/>
              </w:rPr>
              <w:t>Forms of contracts must be accompanied by a statement specifying the range of variation of variable contract provisions, if any, that could have a material effect on the risk assumed by the insurer under the contract, including withdrawal methodology, crediting rate formula and termination events.</w:t>
            </w:r>
            <w:r w:rsidR="005B4DA5" w:rsidRPr="00EC39E0">
              <w:rPr>
                <w:rFonts w:cstheme="minorHAnsi"/>
                <w:sz w:val="21"/>
                <w:szCs w:val="21"/>
              </w:rPr>
              <w:t xml:space="preserve"> </w:t>
            </w:r>
          </w:p>
        </w:tc>
        <w:tc>
          <w:tcPr>
            <w:tcW w:w="1252" w:type="dxa"/>
          </w:tcPr>
          <w:p w14:paraId="32212686" w14:textId="2916C730" w:rsidR="005B4DA5" w:rsidRPr="00EC39E0" w:rsidRDefault="005B4DA5" w:rsidP="005B4DA5">
            <w:pPr>
              <w:rPr>
                <w:rFonts w:cstheme="minorHAnsi"/>
                <w:sz w:val="21"/>
                <w:szCs w:val="21"/>
              </w:rPr>
            </w:pPr>
          </w:p>
        </w:tc>
      </w:tr>
      <w:tr w:rsidR="005B4DA5" w:rsidRPr="00EC39E0" w14:paraId="3A537977" w14:textId="77777777" w:rsidTr="00595692">
        <w:tc>
          <w:tcPr>
            <w:tcW w:w="1092" w:type="dxa"/>
          </w:tcPr>
          <w:p w14:paraId="6476395F" w14:textId="0F464446"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15" w:type="dxa"/>
            <w:gridSpan w:val="2"/>
          </w:tcPr>
          <w:p w14:paraId="2683D5C5" w14:textId="0A3EDBBA" w:rsidR="005B4DA5" w:rsidRPr="00EC39E0" w:rsidRDefault="005B4DA5" w:rsidP="005B4DA5">
            <w:pPr>
              <w:rPr>
                <w:rFonts w:cstheme="minorHAnsi"/>
                <w:sz w:val="21"/>
                <w:szCs w:val="21"/>
              </w:rPr>
            </w:pPr>
            <w:r w:rsidRPr="00EC39E0">
              <w:rPr>
                <w:rFonts w:cstheme="minorHAnsi"/>
                <w:sz w:val="21"/>
                <w:szCs w:val="21"/>
              </w:rPr>
              <w:t xml:space="preserve">Trade Secret </w:t>
            </w:r>
          </w:p>
        </w:tc>
        <w:tc>
          <w:tcPr>
            <w:tcW w:w="1685" w:type="dxa"/>
            <w:gridSpan w:val="3"/>
          </w:tcPr>
          <w:p w14:paraId="2AAC9B64" w14:textId="35F4C76B" w:rsidR="005B4DA5" w:rsidRPr="00EC39E0" w:rsidRDefault="00F61BD1" w:rsidP="005B4DA5">
            <w:pPr>
              <w:rPr>
                <w:rStyle w:val="Hyperlink"/>
                <w:rFonts w:cstheme="minorHAnsi"/>
                <w:color w:val="auto"/>
                <w:sz w:val="21"/>
                <w:szCs w:val="21"/>
                <w:u w:val="none"/>
              </w:rPr>
            </w:pPr>
            <w:hyperlink r:id="rId39" w:history="1">
              <w:r w:rsidR="005B4DA5" w:rsidRPr="00EC39E0">
                <w:rPr>
                  <w:rStyle w:val="Hyperlink"/>
                  <w:rFonts w:cstheme="minorHAnsi"/>
                  <w:sz w:val="21"/>
                  <w:szCs w:val="21"/>
                </w:rPr>
                <w:t>Trade Secret Filing Instructions</w:t>
              </w:r>
            </w:hyperlink>
          </w:p>
        </w:tc>
        <w:tc>
          <w:tcPr>
            <w:tcW w:w="3006" w:type="dxa"/>
            <w:gridSpan w:val="2"/>
          </w:tcPr>
          <w:p w14:paraId="3AD22757" w14:textId="5F58F794" w:rsidR="005B4DA5" w:rsidRPr="00EC39E0" w:rsidRDefault="005B4DA5" w:rsidP="005B4DA5">
            <w:pPr>
              <w:rPr>
                <w:rFonts w:cstheme="minorHAnsi"/>
                <w:sz w:val="21"/>
                <w:szCs w:val="21"/>
              </w:rPr>
            </w:pPr>
            <w:r w:rsidRPr="00EC39E0">
              <w:rPr>
                <w:rFonts w:cstheme="minorHAnsi"/>
                <w:sz w:val="21"/>
                <w:szCs w:val="21"/>
              </w:rPr>
              <w:t>Trade secret materials must be separated from public record materials by filing two separate SERFF documents, a “Public SERFF Document” and a “Trade Secret SERFF Document.”</w:t>
            </w:r>
          </w:p>
        </w:tc>
        <w:tc>
          <w:tcPr>
            <w:tcW w:w="1252" w:type="dxa"/>
          </w:tcPr>
          <w:p w14:paraId="2B3C108B" w14:textId="77777777" w:rsidR="005B4DA5" w:rsidRPr="00EC39E0" w:rsidRDefault="005B4DA5" w:rsidP="005B4DA5">
            <w:pPr>
              <w:rPr>
                <w:rFonts w:cstheme="minorHAnsi"/>
                <w:sz w:val="21"/>
                <w:szCs w:val="21"/>
              </w:rPr>
            </w:pPr>
          </w:p>
        </w:tc>
      </w:tr>
      <w:tr w:rsidR="005B4DA5" w:rsidRPr="00EC39E0" w14:paraId="45226AEF" w14:textId="77777777" w:rsidTr="00595692">
        <w:tc>
          <w:tcPr>
            <w:tcW w:w="1092" w:type="dxa"/>
          </w:tcPr>
          <w:p w14:paraId="7C67194F" w14:textId="50328C34" w:rsidR="005B4DA5" w:rsidRPr="00EC39E0" w:rsidRDefault="005B4DA5" w:rsidP="005B4DA5">
            <w:pPr>
              <w:rPr>
                <w:rFonts w:cstheme="minorHAnsi"/>
                <w:sz w:val="21"/>
                <w:szCs w:val="21"/>
              </w:rPr>
            </w:pPr>
            <w:r w:rsidRPr="00EC39E0">
              <w:rPr>
                <w:rFonts w:cstheme="minorHAnsi"/>
                <w:sz w:val="21"/>
                <w:szCs w:val="21"/>
              </w:rPr>
              <w:sym w:font="Wingdings" w:char="F06F"/>
            </w:r>
          </w:p>
        </w:tc>
        <w:tc>
          <w:tcPr>
            <w:tcW w:w="2315" w:type="dxa"/>
            <w:gridSpan w:val="2"/>
          </w:tcPr>
          <w:p w14:paraId="08354F5B" w14:textId="42A2D8E1" w:rsidR="005B4DA5" w:rsidRPr="00EC39E0" w:rsidRDefault="005B4DA5" w:rsidP="005B4DA5">
            <w:pPr>
              <w:rPr>
                <w:rFonts w:cstheme="minorHAnsi"/>
                <w:sz w:val="21"/>
                <w:szCs w:val="21"/>
              </w:rPr>
            </w:pPr>
            <w:r w:rsidRPr="00EC39E0">
              <w:rPr>
                <w:rFonts w:cstheme="minorHAnsi"/>
                <w:sz w:val="21"/>
                <w:szCs w:val="21"/>
              </w:rPr>
              <w:t xml:space="preserve">NE Filing Form </w:t>
            </w:r>
          </w:p>
        </w:tc>
        <w:tc>
          <w:tcPr>
            <w:tcW w:w="1685" w:type="dxa"/>
            <w:gridSpan w:val="3"/>
          </w:tcPr>
          <w:p w14:paraId="00320126" w14:textId="79B97CCC" w:rsidR="005B4DA5" w:rsidRPr="00EC39E0" w:rsidRDefault="00F61BD1" w:rsidP="005B4DA5">
            <w:pPr>
              <w:rPr>
                <w:rFonts w:cstheme="minorHAnsi"/>
                <w:sz w:val="21"/>
                <w:szCs w:val="21"/>
              </w:rPr>
            </w:pPr>
            <w:hyperlink r:id="rId40" w:history="1">
              <w:r w:rsidR="005B4DA5" w:rsidRPr="00EC39E0">
                <w:rPr>
                  <w:rStyle w:val="Hyperlink"/>
                  <w:rFonts w:cstheme="minorHAnsi"/>
                  <w:sz w:val="21"/>
                  <w:szCs w:val="21"/>
                </w:rPr>
                <w:t>NE Filing Requirement</w:t>
              </w:r>
            </w:hyperlink>
          </w:p>
        </w:tc>
        <w:tc>
          <w:tcPr>
            <w:tcW w:w="3006" w:type="dxa"/>
            <w:gridSpan w:val="2"/>
          </w:tcPr>
          <w:p w14:paraId="1962ACEE" w14:textId="77777777" w:rsidR="005B4DA5" w:rsidRPr="00EC39E0" w:rsidRDefault="005B4DA5" w:rsidP="005B4DA5">
            <w:pPr>
              <w:rPr>
                <w:rFonts w:cstheme="minorHAnsi"/>
                <w:sz w:val="21"/>
                <w:szCs w:val="21"/>
              </w:rPr>
            </w:pPr>
            <w:r w:rsidRPr="00EC39E0">
              <w:rPr>
                <w:rFonts w:cstheme="minorHAnsi"/>
                <w:sz w:val="21"/>
                <w:szCs w:val="21"/>
              </w:rPr>
              <w:t>Use page 2 for additional forms</w:t>
            </w:r>
          </w:p>
        </w:tc>
        <w:tc>
          <w:tcPr>
            <w:tcW w:w="1252" w:type="dxa"/>
          </w:tcPr>
          <w:p w14:paraId="7990DAAF" w14:textId="69E44E55" w:rsidR="005B4DA5" w:rsidRPr="00EC39E0" w:rsidRDefault="005B4DA5" w:rsidP="005B4DA5">
            <w:pPr>
              <w:rPr>
                <w:rFonts w:cstheme="minorHAnsi"/>
                <w:sz w:val="21"/>
                <w:szCs w:val="21"/>
              </w:rPr>
            </w:pPr>
          </w:p>
        </w:tc>
      </w:tr>
      <w:tr w:rsidR="005B4DA5" w:rsidRPr="00EC39E0" w14:paraId="175C88FE" w14:textId="77777777" w:rsidTr="00595692">
        <w:tc>
          <w:tcPr>
            <w:tcW w:w="1092" w:type="dxa"/>
            <w:shd w:val="clear" w:color="auto" w:fill="E7E6E6" w:themeFill="background2"/>
          </w:tcPr>
          <w:p w14:paraId="13FC331F" w14:textId="77777777" w:rsidR="005B4DA5" w:rsidRPr="00EC39E0" w:rsidRDefault="005B4DA5" w:rsidP="005B4DA5">
            <w:pPr>
              <w:rPr>
                <w:rFonts w:cstheme="minorHAnsi"/>
                <w:b/>
                <w:sz w:val="21"/>
                <w:szCs w:val="21"/>
              </w:rPr>
            </w:pPr>
          </w:p>
        </w:tc>
        <w:tc>
          <w:tcPr>
            <w:tcW w:w="8258" w:type="dxa"/>
            <w:gridSpan w:val="8"/>
            <w:shd w:val="clear" w:color="auto" w:fill="E7E6E6" w:themeFill="background2"/>
          </w:tcPr>
          <w:p w14:paraId="18628A33" w14:textId="1A42E948" w:rsidR="005B4DA5" w:rsidRPr="00EC39E0" w:rsidRDefault="005B4DA5" w:rsidP="005B4DA5">
            <w:pPr>
              <w:rPr>
                <w:rFonts w:cstheme="minorHAnsi"/>
                <w:b/>
                <w:sz w:val="21"/>
                <w:szCs w:val="21"/>
              </w:rPr>
            </w:pPr>
            <w:r w:rsidRPr="00EC39E0">
              <w:rPr>
                <w:rFonts w:cstheme="minorHAnsi"/>
                <w:b/>
                <w:sz w:val="21"/>
                <w:szCs w:val="21"/>
              </w:rPr>
              <w:t>EXPLANATION FOR ANY ITEMS MARKED NOT APPLICABLE</w:t>
            </w:r>
          </w:p>
        </w:tc>
      </w:tr>
      <w:tr w:rsidR="005B4DA5" w:rsidRPr="00EC39E0" w14:paraId="6C5EEF1F" w14:textId="77777777" w:rsidTr="00595692">
        <w:tc>
          <w:tcPr>
            <w:tcW w:w="1092" w:type="dxa"/>
          </w:tcPr>
          <w:p w14:paraId="71BE5803" w14:textId="77777777" w:rsidR="005B4DA5" w:rsidRPr="00EC39E0" w:rsidRDefault="005B4DA5" w:rsidP="005B4DA5">
            <w:pPr>
              <w:rPr>
                <w:rFonts w:cstheme="minorHAnsi"/>
                <w:sz w:val="21"/>
                <w:szCs w:val="21"/>
              </w:rPr>
            </w:pPr>
          </w:p>
        </w:tc>
        <w:tc>
          <w:tcPr>
            <w:tcW w:w="8258" w:type="dxa"/>
            <w:gridSpan w:val="8"/>
          </w:tcPr>
          <w:p w14:paraId="3A046814" w14:textId="4D41D612" w:rsidR="005B4DA5" w:rsidRPr="00EC39E0" w:rsidRDefault="005B4DA5" w:rsidP="005B4DA5">
            <w:pPr>
              <w:rPr>
                <w:rFonts w:cstheme="minorHAnsi"/>
                <w:sz w:val="21"/>
                <w:szCs w:val="21"/>
              </w:rPr>
            </w:pPr>
            <w:r w:rsidRPr="00EC39E0">
              <w:rPr>
                <w:rFonts w:cstheme="minorHAnsi"/>
                <w:sz w:val="21"/>
                <w:szCs w:val="21"/>
              </w:rPr>
              <w:t>Please use this space provide an explanation for any checklist requirement marked “N/A” to avoid receiving an objection in SERFF.</w:t>
            </w:r>
          </w:p>
          <w:p w14:paraId="662E2C12" w14:textId="77777777" w:rsidR="005B4DA5" w:rsidRPr="00EC39E0" w:rsidRDefault="005B4DA5" w:rsidP="005B4DA5">
            <w:pPr>
              <w:rPr>
                <w:rFonts w:cstheme="minorHAnsi"/>
                <w:sz w:val="21"/>
                <w:szCs w:val="21"/>
              </w:rPr>
            </w:pPr>
          </w:p>
          <w:p w14:paraId="45C9DE38" w14:textId="41E27F3A" w:rsidR="005B4DA5" w:rsidRPr="00EC39E0" w:rsidRDefault="005B4DA5" w:rsidP="005B4DA5">
            <w:pPr>
              <w:rPr>
                <w:rFonts w:cstheme="minorHAnsi"/>
                <w:sz w:val="21"/>
                <w:szCs w:val="21"/>
              </w:rPr>
            </w:pPr>
          </w:p>
        </w:tc>
      </w:tr>
    </w:tbl>
    <w:p w14:paraId="5ADB41F4" w14:textId="39B8D4EB" w:rsidR="009B423E" w:rsidRDefault="009B423E" w:rsidP="001270E9">
      <w:pPr>
        <w:spacing w:after="0"/>
        <w:rPr>
          <w:rFonts w:cstheme="minorHAnsi"/>
          <w:b/>
          <w:sz w:val="21"/>
          <w:szCs w:val="21"/>
          <w:u w:val="single"/>
        </w:rPr>
      </w:pPr>
    </w:p>
    <w:p w14:paraId="3D2A506E" w14:textId="77777777" w:rsidR="00F01915" w:rsidRPr="00EC39E0" w:rsidRDefault="00F01915">
      <w:pPr>
        <w:rPr>
          <w:rFonts w:cstheme="minorHAnsi"/>
          <w:b/>
          <w:sz w:val="21"/>
          <w:szCs w:val="21"/>
          <w:u w:val="single"/>
        </w:rPr>
      </w:pPr>
    </w:p>
    <w:p w14:paraId="7B5187AF" w14:textId="070FCBC7" w:rsidR="00680237" w:rsidRPr="00EC39E0" w:rsidRDefault="00680237" w:rsidP="001270E9">
      <w:pPr>
        <w:spacing w:after="0"/>
        <w:rPr>
          <w:rFonts w:cstheme="minorHAnsi"/>
          <w:b/>
          <w:sz w:val="21"/>
          <w:szCs w:val="21"/>
          <w:u w:val="single"/>
        </w:rPr>
      </w:pPr>
      <w:r w:rsidRPr="00EC39E0">
        <w:rPr>
          <w:rFonts w:cstheme="minorHAnsi"/>
          <w:b/>
          <w:sz w:val="21"/>
          <w:szCs w:val="21"/>
          <w:u w:val="single"/>
        </w:rPr>
        <w:t>CERTIFICATION OF COMPLIANCE</w:t>
      </w:r>
    </w:p>
    <w:p w14:paraId="04093EC7" w14:textId="77777777" w:rsidR="00F01915" w:rsidRPr="00EC39E0" w:rsidRDefault="00F01915" w:rsidP="001270E9">
      <w:pPr>
        <w:spacing w:after="0"/>
        <w:rPr>
          <w:rFonts w:cstheme="minorHAnsi"/>
          <w:b/>
          <w:sz w:val="21"/>
          <w:szCs w:val="21"/>
          <w:u w:val="single"/>
        </w:rPr>
      </w:pPr>
    </w:p>
    <w:p w14:paraId="08B94A98" w14:textId="25B462C9" w:rsidR="00680237" w:rsidRPr="00EC39E0" w:rsidRDefault="00680237" w:rsidP="00680237">
      <w:pPr>
        <w:spacing w:after="0"/>
        <w:rPr>
          <w:rFonts w:cstheme="minorHAnsi"/>
          <w:sz w:val="21"/>
          <w:szCs w:val="21"/>
        </w:rPr>
      </w:pPr>
      <w:r w:rsidRPr="00EC39E0">
        <w:rPr>
          <w:rFonts w:cstheme="minorHAnsi"/>
          <w:sz w:val="21"/>
          <w:szCs w:val="21"/>
        </w:rPr>
        <w:t xml:space="preserve">I, the </w:t>
      </w:r>
      <w:r w:rsidR="00EE2353" w:rsidRPr="00EC39E0">
        <w:rPr>
          <w:rFonts w:cstheme="minorHAnsi"/>
          <w:sz w:val="21"/>
          <w:szCs w:val="21"/>
        </w:rPr>
        <w:t>undersigned authorized f</w:t>
      </w:r>
      <w:r w:rsidRPr="00EC39E0">
        <w:rPr>
          <w:rFonts w:cstheme="minorHAnsi"/>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EC39E0" w:rsidRDefault="00C80848" w:rsidP="00680237">
      <w:pPr>
        <w:spacing w:after="0"/>
        <w:rPr>
          <w:rFonts w:cstheme="minorHAnsi"/>
          <w:sz w:val="21"/>
          <w:szCs w:val="21"/>
        </w:rPr>
      </w:pPr>
    </w:p>
    <w:p w14:paraId="4A9F39B2" w14:textId="77777777" w:rsidR="005F7BF1" w:rsidRPr="00EC39E0" w:rsidRDefault="005F7BF1" w:rsidP="00680237">
      <w:pPr>
        <w:spacing w:after="0"/>
        <w:rPr>
          <w:rFonts w:cstheme="minorHAnsi"/>
          <w:sz w:val="21"/>
          <w:szCs w:val="21"/>
        </w:rPr>
      </w:pPr>
    </w:p>
    <w:p w14:paraId="53E9FF2A" w14:textId="7B4DADEB" w:rsidR="00680237" w:rsidRPr="00EC39E0" w:rsidRDefault="00680237" w:rsidP="002A252D">
      <w:pPr>
        <w:spacing w:after="0" w:line="240" w:lineRule="auto"/>
        <w:rPr>
          <w:rFonts w:cstheme="minorHAnsi"/>
          <w:sz w:val="21"/>
          <w:szCs w:val="21"/>
        </w:rPr>
      </w:pPr>
      <w:r w:rsidRPr="00EC39E0">
        <w:rPr>
          <w:rFonts w:cstheme="minorHAnsi"/>
          <w:sz w:val="21"/>
          <w:szCs w:val="21"/>
        </w:rPr>
        <w:t>____________________________</w:t>
      </w:r>
      <w:r w:rsidRPr="00EC39E0">
        <w:rPr>
          <w:rFonts w:cstheme="minorHAnsi"/>
          <w:sz w:val="21"/>
          <w:szCs w:val="21"/>
        </w:rPr>
        <w:tab/>
      </w:r>
      <w:r w:rsidRPr="00EC39E0">
        <w:rPr>
          <w:rFonts w:cstheme="minorHAnsi"/>
          <w:sz w:val="21"/>
          <w:szCs w:val="21"/>
        </w:rPr>
        <w:tab/>
      </w:r>
    </w:p>
    <w:p w14:paraId="52EEC82C" w14:textId="1A481A90" w:rsidR="00680237" w:rsidRPr="00EC39E0" w:rsidRDefault="00680237" w:rsidP="002A252D">
      <w:pPr>
        <w:spacing w:after="0" w:line="240" w:lineRule="auto"/>
        <w:rPr>
          <w:rFonts w:cstheme="minorHAnsi"/>
          <w:sz w:val="21"/>
          <w:szCs w:val="21"/>
        </w:rPr>
      </w:pPr>
      <w:r w:rsidRPr="00EC39E0">
        <w:rPr>
          <w:rFonts w:cstheme="minorHAnsi"/>
          <w:sz w:val="21"/>
          <w:szCs w:val="21"/>
        </w:rPr>
        <w:t>Name of Company</w:t>
      </w:r>
      <w:r w:rsidRPr="00EC39E0">
        <w:rPr>
          <w:rFonts w:cstheme="minorHAnsi"/>
          <w:sz w:val="21"/>
          <w:szCs w:val="21"/>
        </w:rPr>
        <w:tab/>
      </w:r>
      <w:r w:rsidRPr="00EC39E0">
        <w:rPr>
          <w:rFonts w:cstheme="minorHAnsi"/>
          <w:sz w:val="21"/>
          <w:szCs w:val="21"/>
        </w:rPr>
        <w:tab/>
      </w:r>
      <w:r w:rsidRPr="00EC39E0">
        <w:rPr>
          <w:rFonts w:cstheme="minorHAnsi"/>
          <w:sz w:val="21"/>
          <w:szCs w:val="21"/>
        </w:rPr>
        <w:tab/>
      </w:r>
      <w:r w:rsidRPr="00EC39E0">
        <w:rPr>
          <w:rFonts w:cstheme="minorHAnsi"/>
          <w:sz w:val="21"/>
          <w:szCs w:val="21"/>
        </w:rPr>
        <w:tab/>
      </w:r>
    </w:p>
    <w:p w14:paraId="2D8218A0" w14:textId="77777777" w:rsidR="00680237" w:rsidRPr="00EC39E0" w:rsidRDefault="00680237" w:rsidP="002A252D">
      <w:pPr>
        <w:spacing w:after="0" w:line="240" w:lineRule="auto"/>
        <w:rPr>
          <w:rFonts w:cstheme="minorHAnsi"/>
          <w:sz w:val="21"/>
          <w:szCs w:val="21"/>
        </w:rPr>
      </w:pPr>
    </w:p>
    <w:p w14:paraId="737FAD34" w14:textId="77777777" w:rsidR="005F7BF1" w:rsidRPr="00EC39E0" w:rsidRDefault="005F7BF1" w:rsidP="002A252D">
      <w:pPr>
        <w:spacing w:after="0" w:line="240" w:lineRule="auto"/>
        <w:rPr>
          <w:rFonts w:cstheme="minorHAnsi"/>
          <w:sz w:val="21"/>
          <w:szCs w:val="21"/>
        </w:rPr>
      </w:pPr>
    </w:p>
    <w:p w14:paraId="72F78764" w14:textId="726FE534" w:rsidR="00680237" w:rsidRPr="00EC39E0" w:rsidRDefault="00680237" w:rsidP="002A252D">
      <w:pPr>
        <w:spacing w:after="0" w:line="240" w:lineRule="auto"/>
        <w:rPr>
          <w:rFonts w:cstheme="minorHAnsi"/>
          <w:sz w:val="21"/>
          <w:szCs w:val="21"/>
        </w:rPr>
      </w:pPr>
      <w:r w:rsidRPr="00EC39E0">
        <w:rPr>
          <w:rFonts w:cstheme="minorHAnsi"/>
          <w:sz w:val="21"/>
          <w:szCs w:val="21"/>
        </w:rPr>
        <w:t>____________________________</w:t>
      </w:r>
      <w:r w:rsidRPr="00EC39E0">
        <w:rPr>
          <w:rFonts w:cstheme="minorHAnsi"/>
          <w:sz w:val="21"/>
          <w:szCs w:val="21"/>
        </w:rPr>
        <w:tab/>
      </w:r>
      <w:r w:rsidRPr="00EC39E0">
        <w:rPr>
          <w:rFonts w:cstheme="minorHAnsi"/>
          <w:sz w:val="21"/>
          <w:szCs w:val="21"/>
        </w:rPr>
        <w:tab/>
      </w:r>
      <w:r w:rsidR="00C80848" w:rsidRPr="00EC39E0">
        <w:rPr>
          <w:rFonts w:cstheme="minorHAnsi"/>
          <w:sz w:val="21"/>
          <w:szCs w:val="21"/>
        </w:rPr>
        <w:tab/>
      </w:r>
      <w:r w:rsidRPr="00EC39E0">
        <w:rPr>
          <w:rFonts w:cstheme="minorHAnsi"/>
          <w:sz w:val="21"/>
          <w:szCs w:val="21"/>
        </w:rPr>
        <w:t>__________________________________</w:t>
      </w:r>
    </w:p>
    <w:p w14:paraId="1D11FC4B" w14:textId="2204CA5E" w:rsidR="00680237" w:rsidRPr="00EC39E0" w:rsidRDefault="00C80848" w:rsidP="002A252D">
      <w:pPr>
        <w:spacing w:after="0" w:line="240" w:lineRule="auto"/>
        <w:rPr>
          <w:rFonts w:cstheme="minorHAnsi"/>
          <w:sz w:val="21"/>
          <w:szCs w:val="21"/>
        </w:rPr>
      </w:pPr>
      <w:r w:rsidRPr="00EC39E0">
        <w:rPr>
          <w:rFonts w:cstheme="minorHAnsi"/>
          <w:sz w:val="21"/>
          <w:szCs w:val="21"/>
        </w:rPr>
        <w:t>Typed Name of Authorized Filer (Electronic S</w:t>
      </w:r>
      <w:r w:rsidR="001C09C5" w:rsidRPr="00EC39E0">
        <w:rPr>
          <w:rFonts w:cstheme="minorHAnsi"/>
          <w:sz w:val="21"/>
          <w:szCs w:val="21"/>
        </w:rPr>
        <w:t>ignature</w:t>
      </w:r>
      <w:r w:rsidRPr="00EC39E0">
        <w:rPr>
          <w:rFonts w:cstheme="minorHAnsi"/>
          <w:sz w:val="21"/>
          <w:szCs w:val="21"/>
        </w:rPr>
        <w:t>)</w:t>
      </w:r>
      <w:r w:rsidR="00680237" w:rsidRPr="00EC39E0">
        <w:rPr>
          <w:rFonts w:cstheme="minorHAnsi"/>
          <w:sz w:val="21"/>
          <w:szCs w:val="21"/>
        </w:rPr>
        <w:tab/>
        <w:t>Date</w:t>
      </w:r>
    </w:p>
    <w:p w14:paraId="5608918D" w14:textId="77777777" w:rsidR="00680237" w:rsidRPr="00EC39E0" w:rsidRDefault="00680237" w:rsidP="002A252D">
      <w:pPr>
        <w:spacing w:after="0" w:line="240" w:lineRule="auto"/>
        <w:rPr>
          <w:rFonts w:cstheme="minorHAnsi"/>
          <w:sz w:val="21"/>
          <w:szCs w:val="21"/>
        </w:rPr>
      </w:pPr>
    </w:p>
    <w:p w14:paraId="59DA0D5D" w14:textId="77777777" w:rsidR="005F7BF1" w:rsidRPr="00EC39E0" w:rsidRDefault="005F7BF1" w:rsidP="002A252D">
      <w:pPr>
        <w:spacing w:after="0" w:line="240" w:lineRule="auto"/>
        <w:rPr>
          <w:rFonts w:cstheme="minorHAnsi"/>
          <w:sz w:val="21"/>
          <w:szCs w:val="21"/>
        </w:rPr>
      </w:pPr>
    </w:p>
    <w:sectPr w:rsidR="005F7BF1" w:rsidRPr="00EC39E0">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526B" w14:textId="77777777" w:rsidR="008647A3" w:rsidRDefault="008647A3" w:rsidP="00B669E2">
      <w:pPr>
        <w:spacing w:after="0" w:line="240" w:lineRule="auto"/>
      </w:pPr>
      <w:r>
        <w:separator/>
      </w:r>
    </w:p>
  </w:endnote>
  <w:endnote w:type="continuationSeparator" w:id="0">
    <w:p w14:paraId="62C64606" w14:textId="77777777" w:rsidR="008647A3" w:rsidRDefault="008647A3"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74332"/>
      <w:docPartObj>
        <w:docPartGallery w:val="Page Numbers (Bottom of Page)"/>
        <w:docPartUnique/>
      </w:docPartObj>
    </w:sdtPr>
    <w:sdtEndPr>
      <w:rPr>
        <w:noProof/>
      </w:rPr>
    </w:sdtEndPr>
    <w:sdtContent>
      <w:p w14:paraId="0086944D" w14:textId="7A29FCE5" w:rsidR="00AA6D99" w:rsidRDefault="00AA6D99">
        <w:pPr>
          <w:pStyle w:val="Footer"/>
          <w:jc w:val="right"/>
        </w:pPr>
        <w:r>
          <w:fldChar w:fldCharType="begin"/>
        </w:r>
        <w:r>
          <w:instrText xml:space="preserve"> PAGE   \* MERGEFORMAT </w:instrText>
        </w:r>
        <w:r>
          <w:fldChar w:fldCharType="separate"/>
        </w:r>
        <w:r w:rsidR="00F61BD1">
          <w:rPr>
            <w:noProof/>
          </w:rPr>
          <w:t>9</w:t>
        </w:r>
        <w:r>
          <w:rPr>
            <w:noProof/>
          </w:rPr>
          <w:fldChar w:fldCharType="end"/>
        </w:r>
      </w:p>
    </w:sdtContent>
  </w:sdt>
  <w:p w14:paraId="45F3F7EF" w14:textId="79BA71FF" w:rsidR="00B669E2" w:rsidRDefault="00694250">
    <w:pPr>
      <w:pStyle w:val="Footer"/>
    </w:pPr>
    <w:r w:rsidRPr="00694250">
      <w:t>S:\LIFNHLTH\BRAND NEW TEMPLATES</w:t>
    </w:r>
  </w:p>
  <w:p w14:paraId="00B42C77" w14:textId="7612FCC6" w:rsidR="00694250" w:rsidRDefault="00694250">
    <w:pPr>
      <w:pStyle w:val="Footer"/>
    </w:pPr>
    <w:r>
      <w:t xml:space="preserve">Last Updated </w:t>
    </w:r>
    <w:r w:rsidR="003E7025">
      <w:t>5/15</w:t>
    </w:r>
    <w:r w:rsidR="00A72FAD">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54642" w14:textId="77777777" w:rsidR="008647A3" w:rsidRDefault="008647A3" w:rsidP="00B669E2">
      <w:pPr>
        <w:spacing w:after="0" w:line="240" w:lineRule="auto"/>
      </w:pPr>
      <w:r>
        <w:separator/>
      </w:r>
    </w:p>
  </w:footnote>
  <w:footnote w:type="continuationSeparator" w:id="0">
    <w:p w14:paraId="278B3F2B" w14:textId="77777777" w:rsidR="008647A3" w:rsidRDefault="008647A3"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CB43" w14:textId="65FC02BD" w:rsidR="006A03BD" w:rsidRDefault="00E754EB" w:rsidP="009B366A">
    <w:pPr>
      <w:spacing w:after="0"/>
      <w:jc w:val="center"/>
      <w:rPr>
        <w:b/>
      </w:rPr>
    </w:pPr>
    <w:r>
      <w:rPr>
        <w:b/>
      </w:rPr>
      <w:t>(NON-</w:t>
    </w:r>
    <w:r w:rsidR="009B366A">
      <w:rPr>
        <w:b/>
      </w:rPr>
      <w:t>SYNTHETIC</w:t>
    </w:r>
    <w:r>
      <w:rPr>
        <w:b/>
      </w:rPr>
      <w:t>)</w:t>
    </w:r>
    <w:r w:rsidR="009B366A">
      <w:rPr>
        <w:b/>
      </w:rPr>
      <w:t xml:space="preserve"> GUARANTEED INVESTMENT CONTRACTS</w:t>
    </w:r>
    <w:r w:rsidR="00E43E13">
      <w:rPr>
        <w:b/>
      </w:rPr>
      <w:t xml:space="preserve"> (GIC)</w:t>
    </w:r>
    <w:r w:rsidR="009B366A">
      <w:rPr>
        <w:b/>
      </w:rPr>
      <w:t xml:space="preserve"> </w:t>
    </w:r>
    <w:r>
      <w:rPr>
        <w:b/>
      </w:rPr>
      <w:t xml:space="preserve">PLAN OF OPERATIONS </w:t>
    </w:r>
    <w:r w:rsidR="006A03BD">
      <w:rPr>
        <w:b/>
      </w:rPr>
      <w:t>CHECKLIST</w:t>
    </w:r>
  </w:p>
  <w:p w14:paraId="0497C06C" w14:textId="24D4C8AA" w:rsidR="006A03BD" w:rsidRDefault="006A03BD">
    <w:pPr>
      <w:pStyle w:val="Header"/>
    </w:pPr>
  </w:p>
  <w:p w14:paraId="3152A972" w14:textId="77777777" w:rsidR="006A03BD" w:rsidRDefault="006A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3EC"/>
    <w:multiLevelType w:val="hybridMultilevel"/>
    <w:tmpl w:val="762A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3F"/>
    <w:rsid w:val="00000BD9"/>
    <w:rsid w:val="00001E2B"/>
    <w:rsid w:val="0000311C"/>
    <w:rsid w:val="00003E47"/>
    <w:rsid w:val="00012299"/>
    <w:rsid w:val="000132B0"/>
    <w:rsid w:val="00014A46"/>
    <w:rsid w:val="00023AA8"/>
    <w:rsid w:val="000245F0"/>
    <w:rsid w:val="000261E8"/>
    <w:rsid w:val="000270E2"/>
    <w:rsid w:val="00030783"/>
    <w:rsid w:val="0003086C"/>
    <w:rsid w:val="00031AC9"/>
    <w:rsid w:val="00036068"/>
    <w:rsid w:val="000367B7"/>
    <w:rsid w:val="0004391A"/>
    <w:rsid w:val="0005134F"/>
    <w:rsid w:val="000518F5"/>
    <w:rsid w:val="00051AA9"/>
    <w:rsid w:val="00051B63"/>
    <w:rsid w:val="00051BE1"/>
    <w:rsid w:val="0006323F"/>
    <w:rsid w:val="00070097"/>
    <w:rsid w:val="00076A5D"/>
    <w:rsid w:val="00077FF9"/>
    <w:rsid w:val="0008026E"/>
    <w:rsid w:val="0008558D"/>
    <w:rsid w:val="000869CF"/>
    <w:rsid w:val="000909D2"/>
    <w:rsid w:val="000927A3"/>
    <w:rsid w:val="00092DED"/>
    <w:rsid w:val="00094A7E"/>
    <w:rsid w:val="000963AC"/>
    <w:rsid w:val="000A1182"/>
    <w:rsid w:val="000A4A79"/>
    <w:rsid w:val="000A5621"/>
    <w:rsid w:val="000A5C0F"/>
    <w:rsid w:val="000A77AB"/>
    <w:rsid w:val="000B0055"/>
    <w:rsid w:val="000B04E1"/>
    <w:rsid w:val="000B0D03"/>
    <w:rsid w:val="000B2487"/>
    <w:rsid w:val="000B2816"/>
    <w:rsid w:val="000B4340"/>
    <w:rsid w:val="000C31C2"/>
    <w:rsid w:val="000C3E33"/>
    <w:rsid w:val="000C3FC3"/>
    <w:rsid w:val="000D085E"/>
    <w:rsid w:val="000D2163"/>
    <w:rsid w:val="000D4D13"/>
    <w:rsid w:val="000E2395"/>
    <w:rsid w:val="000E3018"/>
    <w:rsid w:val="000E5645"/>
    <w:rsid w:val="000F0989"/>
    <w:rsid w:val="000F1822"/>
    <w:rsid w:val="000F29D5"/>
    <w:rsid w:val="000F2ECE"/>
    <w:rsid w:val="0010103F"/>
    <w:rsid w:val="00102198"/>
    <w:rsid w:val="001061EF"/>
    <w:rsid w:val="00110121"/>
    <w:rsid w:val="00117028"/>
    <w:rsid w:val="00122715"/>
    <w:rsid w:val="001259B6"/>
    <w:rsid w:val="001270E9"/>
    <w:rsid w:val="001302F9"/>
    <w:rsid w:val="00133D9D"/>
    <w:rsid w:val="0013479D"/>
    <w:rsid w:val="001371E2"/>
    <w:rsid w:val="001379F9"/>
    <w:rsid w:val="00137D53"/>
    <w:rsid w:val="00142D69"/>
    <w:rsid w:val="00145141"/>
    <w:rsid w:val="00151515"/>
    <w:rsid w:val="00151F62"/>
    <w:rsid w:val="00154FD5"/>
    <w:rsid w:val="00155C94"/>
    <w:rsid w:val="001569FA"/>
    <w:rsid w:val="00157603"/>
    <w:rsid w:val="00157DBD"/>
    <w:rsid w:val="0016068C"/>
    <w:rsid w:val="00160C55"/>
    <w:rsid w:val="00163B53"/>
    <w:rsid w:val="00164C2E"/>
    <w:rsid w:val="00165FEC"/>
    <w:rsid w:val="001702E4"/>
    <w:rsid w:val="00184779"/>
    <w:rsid w:val="00186206"/>
    <w:rsid w:val="001903C9"/>
    <w:rsid w:val="00190E4A"/>
    <w:rsid w:val="00191785"/>
    <w:rsid w:val="0019245B"/>
    <w:rsid w:val="00192D39"/>
    <w:rsid w:val="00194028"/>
    <w:rsid w:val="001C09C5"/>
    <w:rsid w:val="001C2308"/>
    <w:rsid w:val="001D3F37"/>
    <w:rsid w:val="001D44FD"/>
    <w:rsid w:val="001D67E8"/>
    <w:rsid w:val="001D6849"/>
    <w:rsid w:val="001E4428"/>
    <w:rsid w:val="001F2A78"/>
    <w:rsid w:val="001F31EC"/>
    <w:rsid w:val="002026DF"/>
    <w:rsid w:val="00203CF3"/>
    <w:rsid w:val="002056DD"/>
    <w:rsid w:val="00215D86"/>
    <w:rsid w:val="002177D3"/>
    <w:rsid w:val="0022002F"/>
    <w:rsid w:val="002216DB"/>
    <w:rsid w:val="00225316"/>
    <w:rsid w:val="00225605"/>
    <w:rsid w:val="00232822"/>
    <w:rsid w:val="002334A9"/>
    <w:rsid w:val="002341F2"/>
    <w:rsid w:val="002431A8"/>
    <w:rsid w:val="00243B70"/>
    <w:rsid w:val="00253478"/>
    <w:rsid w:val="00253488"/>
    <w:rsid w:val="002534AD"/>
    <w:rsid w:val="002551B3"/>
    <w:rsid w:val="00256CB5"/>
    <w:rsid w:val="00257A70"/>
    <w:rsid w:val="00263BEB"/>
    <w:rsid w:val="00263CAC"/>
    <w:rsid w:val="002640AF"/>
    <w:rsid w:val="00265402"/>
    <w:rsid w:val="00267D4A"/>
    <w:rsid w:val="002714C4"/>
    <w:rsid w:val="002719F6"/>
    <w:rsid w:val="00273E97"/>
    <w:rsid w:val="0028066D"/>
    <w:rsid w:val="0028125B"/>
    <w:rsid w:val="00281A7B"/>
    <w:rsid w:val="00281BF7"/>
    <w:rsid w:val="0028316D"/>
    <w:rsid w:val="002867B8"/>
    <w:rsid w:val="00287B02"/>
    <w:rsid w:val="002936C1"/>
    <w:rsid w:val="00294778"/>
    <w:rsid w:val="00295A59"/>
    <w:rsid w:val="00295C6B"/>
    <w:rsid w:val="00296BA4"/>
    <w:rsid w:val="002A00B6"/>
    <w:rsid w:val="002A0E30"/>
    <w:rsid w:val="002A252D"/>
    <w:rsid w:val="002A6E7F"/>
    <w:rsid w:val="002B19AE"/>
    <w:rsid w:val="002B24ED"/>
    <w:rsid w:val="002B2D74"/>
    <w:rsid w:val="002B3F7C"/>
    <w:rsid w:val="002B797B"/>
    <w:rsid w:val="002C18D3"/>
    <w:rsid w:val="002C3C3B"/>
    <w:rsid w:val="002C5BE5"/>
    <w:rsid w:val="002C72C4"/>
    <w:rsid w:val="002C7E89"/>
    <w:rsid w:val="002C7EAE"/>
    <w:rsid w:val="002D044A"/>
    <w:rsid w:val="002D0A5D"/>
    <w:rsid w:val="002E13B5"/>
    <w:rsid w:val="002E6950"/>
    <w:rsid w:val="002E6DB2"/>
    <w:rsid w:val="002E7919"/>
    <w:rsid w:val="002F0FD9"/>
    <w:rsid w:val="002F3D72"/>
    <w:rsid w:val="00302653"/>
    <w:rsid w:val="00302C5F"/>
    <w:rsid w:val="003043E9"/>
    <w:rsid w:val="003043F2"/>
    <w:rsid w:val="00305802"/>
    <w:rsid w:val="003076B7"/>
    <w:rsid w:val="00307A2C"/>
    <w:rsid w:val="00310458"/>
    <w:rsid w:val="003157F5"/>
    <w:rsid w:val="00315CBE"/>
    <w:rsid w:val="003214E0"/>
    <w:rsid w:val="0032561D"/>
    <w:rsid w:val="003402D5"/>
    <w:rsid w:val="00343FA3"/>
    <w:rsid w:val="003442EC"/>
    <w:rsid w:val="003503B7"/>
    <w:rsid w:val="00351597"/>
    <w:rsid w:val="00352F72"/>
    <w:rsid w:val="0036220C"/>
    <w:rsid w:val="00363A73"/>
    <w:rsid w:val="0037091C"/>
    <w:rsid w:val="00370BB2"/>
    <w:rsid w:val="00371EBE"/>
    <w:rsid w:val="00374257"/>
    <w:rsid w:val="0039113D"/>
    <w:rsid w:val="00392EBD"/>
    <w:rsid w:val="00393390"/>
    <w:rsid w:val="00397522"/>
    <w:rsid w:val="003A1466"/>
    <w:rsid w:val="003A30EA"/>
    <w:rsid w:val="003A33DF"/>
    <w:rsid w:val="003A3818"/>
    <w:rsid w:val="003A3E22"/>
    <w:rsid w:val="003B4067"/>
    <w:rsid w:val="003B54E2"/>
    <w:rsid w:val="003B603D"/>
    <w:rsid w:val="003B69A0"/>
    <w:rsid w:val="003C161D"/>
    <w:rsid w:val="003C21B3"/>
    <w:rsid w:val="003C6597"/>
    <w:rsid w:val="003D4FE8"/>
    <w:rsid w:val="003E5ADF"/>
    <w:rsid w:val="003E7025"/>
    <w:rsid w:val="003F0038"/>
    <w:rsid w:val="003F069A"/>
    <w:rsid w:val="003F41A2"/>
    <w:rsid w:val="003F4A20"/>
    <w:rsid w:val="003F6E21"/>
    <w:rsid w:val="00401737"/>
    <w:rsid w:val="00405353"/>
    <w:rsid w:val="00412636"/>
    <w:rsid w:val="004136CF"/>
    <w:rsid w:val="00424670"/>
    <w:rsid w:val="0042568C"/>
    <w:rsid w:val="00426893"/>
    <w:rsid w:val="004341A0"/>
    <w:rsid w:val="00440525"/>
    <w:rsid w:val="00441D1B"/>
    <w:rsid w:val="00444B1F"/>
    <w:rsid w:val="00446769"/>
    <w:rsid w:val="00450486"/>
    <w:rsid w:val="00451A12"/>
    <w:rsid w:val="004529A8"/>
    <w:rsid w:val="004552C4"/>
    <w:rsid w:val="00465DCD"/>
    <w:rsid w:val="00467A18"/>
    <w:rsid w:val="00470B62"/>
    <w:rsid w:val="00472737"/>
    <w:rsid w:val="0047768D"/>
    <w:rsid w:val="004823E2"/>
    <w:rsid w:val="00483C99"/>
    <w:rsid w:val="0049100A"/>
    <w:rsid w:val="004B137E"/>
    <w:rsid w:val="004B333B"/>
    <w:rsid w:val="004C3425"/>
    <w:rsid w:val="004C4FC7"/>
    <w:rsid w:val="004D159B"/>
    <w:rsid w:val="004D1C8C"/>
    <w:rsid w:val="004D6C15"/>
    <w:rsid w:val="004E289E"/>
    <w:rsid w:val="004E5D92"/>
    <w:rsid w:val="004E696A"/>
    <w:rsid w:val="004F342E"/>
    <w:rsid w:val="0050227B"/>
    <w:rsid w:val="00505563"/>
    <w:rsid w:val="005077D6"/>
    <w:rsid w:val="00510DF8"/>
    <w:rsid w:val="0051273A"/>
    <w:rsid w:val="00515327"/>
    <w:rsid w:val="0051627D"/>
    <w:rsid w:val="00521B3F"/>
    <w:rsid w:val="0052263E"/>
    <w:rsid w:val="00523652"/>
    <w:rsid w:val="00525466"/>
    <w:rsid w:val="005270EA"/>
    <w:rsid w:val="00532DBA"/>
    <w:rsid w:val="00535A89"/>
    <w:rsid w:val="0054036B"/>
    <w:rsid w:val="005426BA"/>
    <w:rsid w:val="00550313"/>
    <w:rsid w:val="005516C3"/>
    <w:rsid w:val="00551932"/>
    <w:rsid w:val="005560D9"/>
    <w:rsid w:val="0056393C"/>
    <w:rsid w:val="00565A21"/>
    <w:rsid w:val="005717C1"/>
    <w:rsid w:val="00571E61"/>
    <w:rsid w:val="00572EB0"/>
    <w:rsid w:val="00574A07"/>
    <w:rsid w:val="00577543"/>
    <w:rsid w:val="005814C8"/>
    <w:rsid w:val="0058514F"/>
    <w:rsid w:val="00595692"/>
    <w:rsid w:val="00596885"/>
    <w:rsid w:val="005A6908"/>
    <w:rsid w:val="005A7901"/>
    <w:rsid w:val="005B4DA5"/>
    <w:rsid w:val="005B679C"/>
    <w:rsid w:val="005C04D8"/>
    <w:rsid w:val="005C1CA5"/>
    <w:rsid w:val="005C2E91"/>
    <w:rsid w:val="005C5483"/>
    <w:rsid w:val="005D0531"/>
    <w:rsid w:val="005D0D06"/>
    <w:rsid w:val="005D5710"/>
    <w:rsid w:val="005D5E52"/>
    <w:rsid w:val="005F13A7"/>
    <w:rsid w:val="005F24C9"/>
    <w:rsid w:val="005F4BBE"/>
    <w:rsid w:val="005F7BF1"/>
    <w:rsid w:val="006054D0"/>
    <w:rsid w:val="0060705E"/>
    <w:rsid w:val="00611EC3"/>
    <w:rsid w:val="006202A9"/>
    <w:rsid w:val="0062065A"/>
    <w:rsid w:val="00621288"/>
    <w:rsid w:val="00621E37"/>
    <w:rsid w:val="00624779"/>
    <w:rsid w:val="0063434F"/>
    <w:rsid w:val="006365CB"/>
    <w:rsid w:val="006401B6"/>
    <w:rsid w:val="00643273"/>
    <w:rsid w:val="00652315"/>
    <w:rsid w:val="00672A97"/>
    <w:rsid w:val="006737CA"/>
    <w:rsid w:val="00676705"/>
    <w:rsid w:val="006772E9"/>
    <w:rsid w:val="0067782C"/>
    <w:rsid w:val="006778E8"/>
    <w:rsid w:val="00680237"/>
    <w:rsid w:val="00684C35"/>
    <w:rsid w:val="0068647F"/>
    <w:rsid w:val="00687A81"/>
    <w:rsid w:val="00687AB9"/>
    <w:rsid w:val="006934AF"/>
    <w:rsid w:val="00694250"/>
    <w:rsid w:val="00695F1C"/>
    <w:rsid w:val="006A03BD"/>
    <w:rsid w:val="006A3F10"/>
    <w:rsid w:val="006A7B7B"/>
    <w:rsid w:val="006B2B76"/>
    <w:rsid w:val="006B3641"/>
    <w:rsid w:val="006B7CD3"/>
    <w:rsid w:val="006C01CD"/>
    <w:rsid w:val="006C7475"/>
    <w:rsid w:val="006D2990"/>
    <w:rsid w:val="006D32B7"/>
    <w:rsid w:val="006D44A2"/>
    <w:rsid w:val="006E6090"/>
    <w:rsid w:val="006E7265"/>
    <w:rsid w:val="006E7B1E"/>
    <w:rsid w:val="006F0075"/>
    <w:rsid w:val="006F1D3B"/>
    <w:rsid w:val="006F32A5"/>
    <w:rsid w:val="006F3B28"/>
    <w:rsid w:val="00705492"/>
    <w:rsid w:val="00706C6D"/>
    <w:rsid w:val="00715433"/>
    <w:rsid w:val="00720E6D"/>
    <w:rsid w:val="0072317B"/>
    <w:rsid w:val="00727217"/>
    <w:rsid w:val="00734333"/>
    <w:rsid w:val="00734464"/>
    <w:rsid w:val="007358DC"/>
    <w:rsid w:val="007408BF"/>
    <w:rsid w:val="007415E8"/>
    <w:rsid w:val="00742A30"/>
    <w:rsid w:val="00745B32"/>
    <w:rsid w:val="00745D54"/>
    <w:rsid w:val="0074644B"/>
    <w:rsid w:val="0075442A"/>
    <w:rsid w:val="00760077"/>
    <w:rsid w:val="0076350D"/>
    <w:rsid w:val="0076754F"/>
    <w:rsid w:val="00767A01"/>
    <w:rsid w:val="007707D4"/>
    <w:rsid w:val="00771B04"/>
    <w:rsid w:val="007906C4"/>
    <w:rsid w:val="0079382C"/>
    <w:rsid w:val="00796D1D"/>
    <w:rsid w:val="007A0F89"/>
    <w:rsid w:val="007A107E"/>
    <w:rsid w:val="007B3ED9"/>
    <w:rsid w:val="007B70E8"/>
    <w:rsid w:val="007C1FEC"/>
    <w:rsid w:val="007C3119"/>
    <w:rsid w:val="007C5EAF"/>
    <w:rsid w:val="007D7F8D"/>
    <w:rsid w:val="007F0340"/>
    <w:rsid w:val="007F1B84"/>
    <w:rsid w:val="007F4655"/>
    <w:rsid w:val="007F5D2C"/>
    <w:rsid w:val="007F616C"/>
    <w:rsid w:val="00800094"/>
    <w:rsid w:val="00801FB2"/>
    <w:rsid w:val="00802D80"/>
    <w:rsid w:val="008037DF"/>
    <w:rsid w:val="008112C4"/>
    <w:rsid w:val="00813F46"/>
    <w:rsid w:val="0081674F"/>
    <w:rsid w:val="00817D04"/>
    <w:rsid w:val="0082259C"/>
    <w:rsid w:val="00825742"/>
    <w:rsid w:val="0083088A"/>
    <w:rsid w:val="00836CFD"/>
    <w:rsid w:val="00837812"/>
    <w:rsid w:val="00840692"/>
    <w:rsid w:val="00840AA8"/>
    <w:rsid w:val="00844C7D"/>
    <w:rsid w:val="0084528B"/>
    <w:rsid w:val="0085167C"/>
    <w:rsid w:val="0085660B"/>
    <w:rsid w:val="008567F6"/>
    <w:rsid w:val="00860B00"/>
    <w:rsid w:val="00860B39"/>
    <w:rsid w:val="0086102E"/>
    <w:rsid w:val="008647A3"/>
    <w:rsid w:val="0086547D"/>
    <w:rsid w:val="00867B5E"/>
    <w:rsid w:val="008722E9"/>
    <w:rsid w:val="00875414"/>
    <w:rsid w:val="00875FEC"/>
    <w:rsid w:val="00880F29"/>
    <w:rsid w:val="008954CD"/>
    <w:rsid w:val="00896CB3"/>
    <w:rsid w:val="008A0525"/>
    <w:rsid w:val="008A07F3"/>
    <w:rsid w:val="008A3C4A"/>
    <w:rsid w:val="008A509E"/>
    <w:rsid w:val="008B0738"/>
    <w:rsid w:val="008B0DDE"/>
    <w:rsid w:val="008B2DC7"/>
    <w:rsid w:val="008B3578"/>
    <w:rsid w:val="008B4618"/>
    <w:rsid w:val="008B720F"/>
    <w:rsid w:val="008B760A"/>
    <w:rsid w:val="008C41AD"/>
    <w:rsid w:val="008E0E6F"/>
    <w:rsid w:val="008E548D"/>
    <w:rsid w:val="008E631C"/>
    <w:rsid w:val="008F1F4A"/>
    <w:rsid w:val="008F263E"/>
    <w:rsid w:val="008F3344"/>
    <w:rsid w:val="008F4DA9"/>
    <w:rsid w:val="00900173"/>
    <w:rsid w:val="00902489"/>
    <w:rsid w:val="009046C3"/>
    <w:rsid w:val="009050CF"/>
    <w:rsid w:val="00910486"/>
    <w:rsid w:val="00917B7A"/>
    <w:rsid w:val="0092571A"/>
    <w:rsid w:val="00933C8D"/>
    <w:rsid w:val="00935404"/>
    <w:rsid w:val="00936466"/>
    <w:rsid w:val="00936F4C"/>
    <w:rsid w:val="0094510B"/>
    <w:rsid w:val="009517F6"/>
    <w:rsid w:val="00953AE0"/>
    <w:rsid w:val="00961D30"/>
    <w:rsid w:val="0096479B"/>
    <w:rsid w:val="0097428F"/>
    <w:rsid w:val="009744B5"/>
    <w:rsid w:val="009818B4"/>
    <w:rsid w:val="009826C0"/>
    <w:rsid w:val="00987451"/>
    <w:rsid w:val="00987E9D"/>
    <w:rsid w:val="00991B10"/>
    <w:rsid w:val="009938AD"/>
    <w:rsid w:val="00994E75"/>
    <w:rsid w:val="00996D3B"/>
    <w:rsid w:val="0099729E"/>
    <w:rsid w:val="009A236C"/>
    <w:rsid w:val="009B0BC6"/>
    <w:rsid w:val="009B11B7"/>
    <w:rsid w:val="009B1611"/>
    <w:rsid w:val="009B354C"/>
    <w:rsid w:val="009B366A"/>
    <w:rsid w:val="009B423E"/>
    <w:rsid w:val="009B4351"/>
    <w:rsid w:val="009B5720"/>
    <w:rsid w:val="009B7962"/>
    <w:rsid w:val="009B7F05"/>
    <w:rsid w:val="009C7370"/>
    <w:rsid w:val="009C7C37"/>
    <w:rsid w:val="009D11E6"/>
    <w:rsid w:val="009E15FC"/>
    <w:rsid w:val="009E37E1"/>
    <w:rsid w:val="009E3932"/>
    <w:rsid w:val="00A0019E"/>
    <w:rsid w:val="00A05366"/>
    <w:rsid w:val="00A1464A"/>
    <w:rsid w:val="00A148FD"/>
    <w:rsid w:val="00A153FF"/>
    <w:rsid w:val="00A17C13"/>
    <w:rsid w:val="00A2052D"/>
    <w:rsid w:val="00A27F81"/>
    <w:rsid w:val="00A35ADD"/>
    <w:rsid w:val="00A37692"/>
    <w:rsid w:val="00A40C18"/>
    <w:rsid w:val="00A46178"/>
    <w:rsid w:val="00A50C70"/>
    <w:rsid w:val="00A51BF6"/>
    <w:rsid w:val="00A52FA2"/>
    <w:rsid w:val="00A541CF"/>
    <w:rsid w:val="00A576F6"/>
    <w:rsid w:val="00A63260"/>
    <w:rsid w:val="00A64083"/>
    <w:rsid w:val="00A662D3"/>
    <w:rsid w:val="00A67A0E"/>
    <w:rsid w:val="00A67B17"/>
    <w:rsid w:val="00A72FAD"/>
    <w:rsid w:val="00A75D3F"/>
    <w:rsid w:val="00A833BC"/>
    <w:rsid w:val="00A900E1"/>
    <w:rsid w:val="00A97FB9"/>
    <w:rsid w:val="00AA06CB"/>
    <w:rsid w:val="00AA469E"/>
    <w:rsid w:val="00AA6423"/>
    <w:rsid w:val="00AA6D99"/>
    <w:rsid w:val="00AB0194"/>
    <w:rsid w:val="00AB150F"/>
    <w:rsid w:val="00AB6741"/>
    <w:rsid w:val="00AB78BA"/>
    <w:rsid w:val="00AB7CE5"/>
    <w:rsid w:val="00AC218B"/>
    <w:rsid w:val="00AC25E9"/>
    <w:rsid w:val="00AC2A51"/>
    <w:rsid w:val="00AD3846"/>
    <w:rsid w:val="00AD46C9"/>
    <w:rsid w:val="00AD54A9"/>
    <w:rsid w:val="00AE7031"/>
    <w:rsid w:val="00AF1AD9"/>
    <w:rsid w:val="00B04E87"/>
    <w:rsid w:val="00B1231A"/>
    <w:rsid w:val="00B217FF"/>
    <w:rsid w:val="00B21E26"/>
    <w:rsid w:val="00B30158"/>
    <w:rsid w:val="00B320A7"/>
    <w:rsid w:val="00B32380"/>
    <w:rsid w:val="00B36946"/>
    <w:rsid w:val="00B417C7"/>
    <w:rsid w:val="00B455D2"/>
    <w:rsid w:val="00B46A2F"/>
    <w:rsid w:val="00B50D9A"/>
    <w:rsid w:val="00B50FE5"/>
    <w:rsid w:val="00B545BE"/>
    <w:rsid w:val="00B621ED"/>
    <w:rsid w:val="00B669E2"/>
    <w:rsid w:val="00B768D9"/>
    <w:rsid w:val="00B8427C"/>
    <w:rsid w:val="00B85472"/>
    <w:rsid w:val="00B93643"/>
    <w:rsid w:val="00B93A5E"/>
    <w:rsid w:val="00B976A6"/>
    <w:rsid w:val="00BA2CAC"/>
    <w:rsid w:val="00BA2F22"/>
    <w:rsid w:val="00BA4340"/>
    <w:rsid w:val="00BA637A"/>
    <w:rsid w:val="00BA6FA9"/>
    <w:rsid w:val="00BB5C2C"/>
    <w:rsid w:val="00BC1673"/>
    <w:rsid w:val="00BC1EAF"/>
    <w:rsid w:val="00BC24B3"/>
    <w:rsid w:val="00BC3756"/>
    <w:rsid w:val="00BC5003"/>
    <w:rsid w:val="00BC6B76"/>
    <w:rsid w:val="00BD3239"/>
    <w:rsid w:val="00BD4016"/>
    <w:rsid w:val="00BE36FC"/>
    <w:rsid w:val="00BE37DC"/>
    <w:rsid w:val="00BE4B62"/>
    <w:rsid w:val="00BE5F8E"/>
    <w:rsid w:val="00BE78B3"/>
    <w:rsid w:val="00BF4118"/>
    <w:rsid w:val="00C104DE"/>
    <w:rsid w:val="00C10C85"/>
    <w:rsid w:val="00C11516"/>
    <w:rsid w:val="00C2199F"/>
    <w:rsid w:val="00C2365C"/>
    <w:rsid w:val="00C24589"/>
    <w:rsid w:val="00C25447"/>
    <w:rsid w:val="00C32721"/>
    <w:rsid w:val="00C4104F"/>
    <w:rsid w:val="00C41B7F"/>
    <w:rsid w:val="00C46F6F"/>
    <w:rsid w:val="00C47A75"/>
    <w:rsid w:val="00C50B45"/>
    <w:rsid w:val="00C523DB"/>
    <w:rsid w:val="00C53862"/>
    <w:rsid w:val="00C56218"/>
    <w:rsid w:val="00C571E0"/>
    <w:rsid w:val="00C57E2C"/>
    <w:rsid w:val="00C628C0"/>
    <w:rsid w:val="00C651DB"/>
    <w:rsid w:val="00C67B5E"/>
    <w:rsid w:val="00C705FB"/>
    <w:rsid w:val="00C71793"/>
    <w:rsid w:val="00C76EDA"/>
    <w:rsid w:val="00C80848"/>
    <w:rsid w:val="00C839BE"/>
    <w:rsid w:val="00C906C3"/>
    <w:rsid w:val="00C90A5A"/>
    <w:rsid w:val="00C962CA"/>
    <w:rsid w:val="00CA0DCD"/>
    <w:rsid w:val="00CA483D"/>
    <w:rsid w:val="00CA4B76"/>
    <w:rsid w:val="00CA5A4B"/>
    <w:rsid w:val="00CA67CC"/>
    <w:rsid w:val="00CA6DA1"/>
    <w:rsid w:val="00CB6F89"/>
    <w:rsid w:val="00CC1A18"/>
    <w:rsid w:val="00CC32C1"/>
    <w:rsid w:val="00CC671A"/>
    <w:rsid w:val="00CD373A"/>
    <w:rsid w:val="00CD64D2"/>
    <w:rsid w:val="00CF3BFC"/>
    <w:rsid w:val="00CF4E4A"/>
    <w:rsid w:val="00CF6E1F"/>
    <w:rsid w:val="00CF6E87"/>
    <w:rsid w:val="00D01A61"/>
    <w:rsid w:val="00D01D29"/>
    <w:rsid w:val="00D02CC8"/>
    <w:rsid w:val="00D03453"/>
    <w:rsid w:val="00D0496E"/>
    <w:rsid w:val="00D068DC"/>
    <w:rsid w:val="00D07A14"/>
    <w:rsid w:val="00D1280F"/>
    <w:rsid w:val="00D17FAE"/>
    <w:rsid w:val="00D20A27"/>
    <w:rsid w:val="00D23089"/>
    <w:rsid w:val="00D24E95"/>
    <w:rsid w:val="00D2681A"/>
    <w:rsid w:val="00D26C8A"/>
    <w:rsid w:val="00D2700B"/>
    <w:rsid w:val="00D27812"/>
    <w:rsid w:val="00D30F23"/>
    <w:rsid w:val="00D31D47"/>
    <w:rsid w:val="00D32425"/>
    <w:rsid w:val="00D32A5E"/>
    <w:rsid w:val="00D32E36"/>
    <w:rsid w:val="00D33A4C"/>
    <w:rsid w:val="00D373E6"/>
    <w:rsid w:val="00D40751"/>
    <w:rsid w:val="00D41240"/>
    <w:rsid w:val="00D413CF"/>
    <w:rsid w:val="00D42751"/>
    <w:rsid w:val="00D44772"/>
    <w:rsid w:val="00D50088"/>
    <w:rsid w:val="00D61371"/>
    <w:rsid w:val="00D64676"/>
    <w:rsid w:val="00D73DB9"/>
    <w:rsid w:val="00D750EC"/>
    <w:rsid w:val="00D752BB"/>
    <w:rsid w:val="00D75DF1"/>
    <w:rsid w:val="00D76D11"/>
    <w:rsid w:val="00D86023"/>
    <w:rsid w:val="00D86A8A"/>
    <w:rsid w:val="00D91AC9"/>
    <w:rsid w:val="00D91F8B"/>
    <w:rsid w:val="00D93D07"/>
    <w:rsid w:val="00D9696C"/>
    <w:rsid w:val="00DA4C10"/>
    <w:rsid w:val="00DA5768"/>
    <w:rsid w:val="00DB3DD4"/>
    <w:rsid w:val="00DB4990"/>
    <w:rsid w:val="00DB505A"/>
    <w:rsid w:val="00DC1DA1"/>
    <w:rsid w:val="00DC2EEC"/>
    <w:rsid w:val="00DC3D18"/>
    <w:rsid w:val="00DC545C"/>
    <w:rsid w:val="00DC5BA6"/>
    <w:rsid w:val="00DC5C03"/>
    <w:rsid w:val="00DC77DF"/>
    <w:rsid w:val="00DC7DF8"/>
    <w:rsid w:val="00DD0456"/>
    <w:rsid w:val="00DD0F47"/>
    <w:rsid w:val="00DD1313"/>
    <w:rsid w:val="00DD2784"/>
    <w:rsid w:val="00DD43DE"/>
    <w:rsid w:val="00DD5351"/>
    <w:rsid w:val="00DE0C9B"/>
    <w:rsid w:val="00DE7742"/>
    <w:rsid w:val="00DF0928"/>
    <w:rsid w:val="00DF2D2A"/>
    <w:rsid w:val="00DF4B03"/>
    <w:rsid w:val="00DF7553"/>
    <w:rsid w:val="00DF7998"/>
    <w:rsid w:val="00E01D0E"/>
    <w:rsid w:val="00E02B95"/>
    <w:rsid w:val="00E11581"/>
    <w:rsid w:val="00E1193D"/>
    <w:rsid w:val="00E12BC6"/>
    <w:rsid w:val="00E167EA"/>
    <w:rsid w:val="00E17DDB"/>
    <w:rsid w:val="00E20A68"/>
    <w:rsid w:val="00E20C02"/>
    <w:rsid w:val="00E35EA9"/>
    <w:rsid w:val="00E41FCF"/>
    <w:rsid w:val="00E4200C"/>
    <w:rsid w:val="00E42BAD"/>
    <w:rsid w:val="00E43E13"/>
    <w:rsid w:val="00E45BC5"/>
    <w:rsid w:val="00E51002"/>
    <w:rsid w:val="00E51A3B"/>
    <w:rsid w:val="00E5604F"/>
    <w:rsid w:val="00E57675"/>
    <w:rsid w:val="00E61729"/>
    <w:rsid w:val="00E61A1A"/>
    <w:rsid w:val="00E74538"/>
    <w:rsid w:val="00E751E1"/>
    <w:rsid w:val="00E754EB"/>
    <w:rsid w:val="00E765C6"/>
    <w:rsid w:val="00E80319"/>
    <w:rsid w:val="00E85701"/>
    <w:rsid w:val="00E87B9C"/>
    <w:rsid w:val="00EA1B0D"/>
    <w:rsid w:val="00EA1D93"/>
    <w:rsid w:val="00EA3A3C"/>
    <w:rsid w:val="00EA7621"/>
    <w:rsid w:val="00EB40C5"/>
    <w:rsid w:val="00EB52ED"/>
    <w:rsid w:val="00EC329C"/>
    <w:rsid w:val="00EC39E0"/>
    <w:rsid w:val="00EC67CC"/>
    <w:rsid w:val="00ED1AE0"/>
    <w:rsid w:val="00ED2C0A"/>
    <w:rsid w:val="00ED3532"/>
    <w:rsid w:val="00ED59C8"/>
    <w:rsid w:val="00ED5C0F"/>
    <w:rsid w:val="00EE0FCC"/>
    <w:rsid w:val="00EE2353"/>
    <w:rsid w:val="00EE26CF"/>
    <w:rsid w:val="00EE4861"/>
    <w:rsid w:val="00EE52A0"/>
    <w:rsid w:val="00EF7AE7"/>
    <w:rsid w:val="00F014EC"/>
    <w:rsid w:val="00F01915"/>
    <w:rsid w:val="00F037C3"/>
    <w:rsid w:val="00F038CC"/>
    <w:rsid w:val="00F20DEF"/>
    <w:rsid w:val="00F2244D"/>
    <w:rsid w:val="00F27E91"/>
    <w:rsid w:val="00F3014A"/>
    <w:rsid w:val="00F31F27"/>
    <w:rsid w:val="00F34E7D"/>
    <w:rsid w:val="00F35D5C"/>
    <w:rsid w:val="00F35FB8"/>
    <w:rsid w:val="00F367EF"/>
    <w:rsid w:val="00F36AB6"/>
    <w:rsid w:val="00F419D2"/>
    <w:rsid w:val="00F4365E"/>
    <w:rsid w:val="00F46DEB"/>
    <w:rsid w:val="00F52DC9"/>
    <w:rsid w:val="00F5307C"/>
    <w:rsid w:val="00F53909"/>
    <w:rsid w:val="00F570D7"/>
    <w:rsid w:val="00F61BD1"/>
    <w:rsid w:val="00F67263"/>
    <w:rsid w:val="00F6798E"/>
    <w:rsid w:val="00F703E7"/>
    <w:rsid w:val="00F75831"/>
    <w:rsid w:val="00F7779C"/>
    <w:rsid w:val="00F82EF8"/>
    <w:rsid w:val="00F83457"/>
    <w:rsid w:val="00F83FC3"/>
    <w:rsid w:val="00F84FAE"/>
    <w:rsid w:val="00F8673D"/>
    <w:rsid w:val="00F9647B"/>
    <w:rsid w:val="00FA1340"/>
    <w:rsid w:val="00FA2435"/>
    <w:rsid w:val="00FA6495"/>
    <w:rsid w:val="00FB3294"/>
    <w:rsid w:val="00FC3224"/>
    <w:rsid w:val="00FC4F03"/>
    <w:rsid w:val="00FC56AA"/>
    <w:rsid w:val="00FC7071"/>
    <w:rsid w:val="00FD04F1"/>
    <w:rsid w:val="00FD355E"/>
    <w:rsid w:val="00FD480A"/>
    <w:rsid w:val="00FD5BAC"/>
    <w:rsid w:val="00FE50F3"/>
    <w:rsid w:val="00FE5C00"/>
    <w:rsid w:val="00FF2E53"/>
    <w:rsid w:val="00FF4897"/>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0C"/>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C1D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44-350" TargetMode="External"/><Relationship Id="rId13" Type="http://schemas.openxmlformats.org/officeDocument/2006/relationships/hyperlink" Target="https://www.naic.org/store/free/MDL-200.pdf" TargetMode="External"/><Relationship Id="rId18" Type="http://schemas.openxmlformats.org/officeDocument/2006/relationships/hyperlink" Target="http://www.sos.ne.gov/rules-and-regs/regsearch/Rules/Insurance_Dept_of/Title-210/Chapter-80.pdf" TargetMode="External"/><Relationship Id="rId26" Type="http://schemas.openxmlformats.org/officeDocument/2006/relationships/hyperlink" Target="https://www.naic.org/store/free/MDL-200.pdf" TargetMode="External"/><Relationship Id="rId39" Type="http://schemas.openxmlformats.org/officeDocument/2006/relationships/hyperlink" Target="https://login.serff.com/serff/viewFilingRulesAttachment.do?attachId=125037797" TargetMode="External"/><Relationship Id="rId3" Type="http://schemas.openxmlformats.org/officeDocument/2006/relationships/styles" Target="styles.xml"/><Relationship Id="rId21" Type="http://schemas.openxmlformats.org/officeDocument/2006/relationships/hyperlink" Target="https://www.naic.org/store/free/MDL-200.pdf" TargetMode="External"/><Relationship Id="rId34" Type="http://schemas.openxmlformats.org/officeDocument/2006/relationships/hyperlink" Target="https://www.naic.org/store/free/MDL-200.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aic.org/store/free/MDL-200.pdf" TargetMode="External"/><Relationship Id="rId17" Type="http://schemas.openxmlformats.org/officeDocument/2006/relationships/hyperlink" Target="https://www.naic.org/store/free/MDL-200.pdf" TargetMode="External"/><Relationship Id="rId25" Type="http://schemas.openxmlformats.org/officeDocument/2006/relationships/hyperlink" Target="https://www.naic.org/store/free/MDL-200.pdf" TargetMode="External"/><Relationship Id="rId33" Type="http://schemas.openxmlformats.org/officeDocument/2006/relationships/hyperlink" Target="https://www.naic.org/store/free/MDL-200.pdf" TargetMode="External"/><Relationship Id="rId38" Type="http://schemas.openxmlformats.org/officeDocument/2006/relationships/hyperlink" Target="https://www.naic.org/store/free/MDL-200.pdf" TargetMode="External"/><Relationship Id="rId2" Type="http://schemas.openxmlformats.org/officeDocument/2006/relationships/numbering" Target="numbering.xml"/><Relationship Id="rId16" Type="http://schemas.openxmlformats.org/officeDocument/2006/relationships/hyperlink" Target="https://www.naic.org/store/free/MDL-200.pdf" TargetMode="External"/><Relationship Id="rId20" Type="http://schemas.openxmlformats.org/officeDocument/2006/relationships/hyperlink" Target="https://www.naic.org/store/free/MDL-200.pdf" TargetMode="External"/><Relationship Id="rId29" Type="http://schemas.openxmlformats.org/officeDocument/2006/relationships/hyperlink" Target="https://www.naic.org/store/free/MDL-200.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c.org/store/free/MDL-200.pdf" TargetMode="External"/><Relationship Id="rId24" Type="http://schemas.openxmlformats.org/officeDocument/2006/relationships/hyperlink" Target="https://www.naic.org/store/free/MDL-200.pdf" TargetMode="External"/><Relationship Id="rId32" Type="http://schemas.openxmlformats.org/officeDocument/2006/relationships/hyperlink" Target="https://www.naic.org/store/free/MDL-200.pdf" TargetMode="External"/><Relationship Id="rId37" Type="http://schemas.openxmlformats.org/officeDocument/2006/relationships/hyperlink" Target="https://www.naic.org/store/free/MDL-200.pdf" TargetMode="External"/><Relationship Id="rId40" Type="http://schemas.openxmlformats.org/officeDocument/2006/relationships/hyperlink" Target="https://login.serff.com/serff/viewFilingRulesAttachment.do?attachId=125039598" TargetMode="External"/><Relationship Id="rId5" Type="http://schemas.openxmlformats.org/officeDocument/2006/relationships/webSettings" Target="webSettings.xml"/><Relationship Id="rId15" Type="http://schemas.openxmlformats.org/officeDocument/2006/relationships/hyperlink" Target="https://www.naic.org/store/free/MDL-200.pdf" TargetMode="External"/><Relationship Id="rId23" Type="http://schemas.openxmlformats.org/officeDocument/2006/relationships/hyperlink" Target="https://www.naic.org/store/free/MDL-200.pdf" TargetMode="External"/><Relationship Id="rId28" Type="http://schemas.openxmlformats.org/officeDocument/2006/relationships/hyperlink" Target="https://www.naic.org/store/free/MDL-200.pdf" TargetMode="External"/><Relationship Id="rId36" Type="http://schemas.openxmlformats.org/officeDocument/2006/relationships/hyperlink" Target="http://www.sos.ne.gov/rules-and-regs/regsearch/Rules/Insurance_Dept_of/Title-210/Chapter-80.pdf" TargetMode="External"/><Relationship Id="rId10" Type="http://schemas.openxmlformats.org/officeDocument/2006/relationships/hyperlink" Target="https://www.naic.org/store/free/MDL-200.pdf" TargetMode="External"/><Relationship Id="rId19" Type="http://schemas.openxmlformats.org/officeDocument/2006/relationships/hyperlink" Target="https://www.naic.org/store/free/MDL-200.pdf" TargetMode="External"/><Relationship Id="rId31" Type="http://schemas.openxmlformats.org/officeDocument/2006/relationships/hyperlink" Target="https://www.naic.org/store/free/MDL-200.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braskalegislature.gov/laws/statutes.php?statute=44-701" TargetMode="External"/><Relationship Id="rId14" Type="http://schemas.openxmlformats.org/officeDocument/2006/relationships/hyperlink" Target="https://www.naic.org/store/free/MDL-200.pdf" TargetMode="External"/><Relationship Id="rId22" Type="http://schemas.openxmlformats.org/officeDocument/2006/relationships/hyperlink" Target="https://www.naic.org/store/free/MDL-200.pdf" TargetMode="External"/><Relationship Id="rId27" Type="http://schemas.openxmlformats.org/officeDocument/2006/relationships/hyperlink" Target="https://www.naic.org/store/free/MDL-200.pdf" TargetMode="External"/><Relationship Id="rId30" Type="http://schemas.openxmlformats.org/officeDocument/2006/relationships/hyperlink" Target="https://www.naic.org/store/free/MDL-200.pdf" TargetMode="External"/><Relationship Id="rId35" Type="http://schemas.openxmlformats.org/officeDocument/2006/relationships/hyperlink" Target="https://www.naic.org/store/free/MDL-200.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9BBA-1D34-46DF-A228-DF8806CB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9</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Mariscal Johnsen, Lisa</cp:lastModifiedBy>
  <cp:revision>29</cp:revision>
  <cp:lastPrinted>2019-05-14T14:52:00Z</cp:lastPrinted>
  <dcterms:created xsi:type="dcterms:W3CDTF">2019-05-13T21:01:00Z</dcterms:created>
  <dcterms:modified xsi:type="dcterms:W3CDTF">2020-12-07T18:29:00Z</dcterms:modified>
</cp:coreProperties>
</file>